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165" w:rsidRPr="0074038C" w:rsidRDefault="00B52BBF" w:rsidP="00BF2165">
      <w:pPr>
        <w:jc w:val="center"/>
        <w:rPr>
          <w:b/>
          <w:sz w:val="28"/>
        </w:rPr>
      </w:pPr>
      <w:r w:rsidRPr="0074038C">
        <w:rPr>
          <w:b/>
          <w:sz w:val="28"/>
        </w:rPr>
        <w:t xml:space="preserve">Diploma in </w:t>
      </w:r>
      <w:r w:rsidR="00BF2165" w:rsidRPr="0074038C">
        <w:rPr>
          <w:b/>
          <w:sz w:val="28"/>
        </w:rPr>
        <w:t>International Banking and Finance</w:t>
      </w:r>
    </w:p>
    <w:p w:rsidR="00BF2165" w:rsidRDefault="00BF2165" w:rsidP="00BF2165">
      <w:pPr>
        <w:jc w:val="center"/>
      </w:pPr>
    </w:p>
    <w:tbl>
      <w:tblPr>
        <w:tblStyle w:val="TableGrid"/>
        <w:tblW w:w="0" w:type="auto"/>
        <w:tblInd w:w="0" w:type="dxa"/>
        <w:tblLook w:val="04A0" w:firstRow="1" w:lastRow="0" w:firstColumn="1" w:lastColumn="0" w:noHBand="0" w:noVBand="1"/>
      </w:tblPr>
      <w:tblGrid>
        <w:gridCol w:w="846"/>
        <w:gridCol w:w="8170"/>
      </w:tblGrid>
      <w:tr w:rsidR="00BF2165" w:rsidRPr="00B64439" w:rsidTr="00BF2165">
        <w:tc>
          <w:tcPr>
            <w:tcW w:w="846" w:type="dxa"/>
            <w:tcBorders>
              <w:top w:val="single" w:sz="4" w:space="0" w:color="auto"/>
              <w:left w:val="single" w:sz="4" w:space="0" w:color="auto"/>
              <w:bottom w:val="single" w:sz="4" w:space="0" w:color="auto"/>
              <w:right w:val="single" w:sz="4" w:space="0" w:color="auto"/>
            </w:tcBorders>
            <w:hideMark/>
          </w:tcPr>
          <w:p w:rsidR="00BF2165" w:rsidRPr="00B64439" w:rsidRDefault="00BF2165">
            <w:pPr>
              <w:spacing w:line="240" w:lineRule="auto"/>
              <w:jc w:val="center"/>
              <w:rPr>
                <w:b/>
                <w:sz w:val="24"/>
              </w:rPr>
            </w:pPr>
            <w:proofErr w:type="spellStart"/>
            <w:r w:rsidRPr="00B64439">
              <w:rPr>
                <w:b/>
                <w:sz w:val="24"/>
              </w:rPr>
              <w:t>S.No</w:t>
            </w:r>
            <w:proofErr w:type="spellEnd"/>
            <w:r w:rsidRPr="00B64439">
              <w:rPr>
                <w:b/>
                <w:sz w:val="24"/>
              </w:rPr>
              <w:t>.</w:t>
            </w:r>
          </w:p>
        </w:tc>
        <w:tc>
          <w:tcPr>
            <w:tcW w:w="8170" w:type="dxa"/>
            <w:tcBorders>
              <w:top w:val="single" w:sz="4" w:space="0" w:color="auto"/>
              <w:left w:val="single" w:sz="4" w:space="0" w:color="auto"/>
              <w:bottom w:val="single" w:sz="4" w:space="0" w:color="auto"/>
              <w:right w:val="single" w:sz="4" w:space="0" w:color="auto"/>
            </w:tcBorders>
            <w:hideMark/>
          </w:tcPr>
          <w:p w:rsidR="00BF2165" w:rsidRPr="00B64439" w:rsidRDefault="00BF2165">
            <w:pPr>
              <w:spacing w:line="240" w:lineRule="auto"/>
              <w:jc w:val="center"/>
              <w:rPr>
                <w:b/>
                <w:sz w:val="24"/>
              </w:rPr>
            </w:pPr>
            <w:r w:rsidRPr="00B64439">
              <w:rPr>
                <w:b/>
                <w:sz w:val="24"/>
              </w:rPr>
              <w:t>RBI Notification</w:t>
            </w:r>
          </w:p>
        </w:tc>
      </w:tr>
      <w:tr w:rsidR="00BF2165" w:rsidRPr="00B64439" w:rsidTr="00BF2165">
        <w:tc>
          <w:tcPr>
            <w:tcW w:w="846" w:type="dxa"/>
            <w:tcBorders>
              <w:top w:val="single" w:sz="4" w:space="0" w:color="auto"/>
              <w:left w:val="single" w:sz="4" w:space="0" w:color="auto"/>
              <w:bottom w:val="single" w:sz="4" w:space="0" w:color="auto"/>
              <w:right w:val="single" w:sz="4" w:space="0" w:color="auto"/>
            </w:tcBorders>
          </w:tcPr>
          <w:p w:rsidR="00BF2165" w:rsidRPr="00B64439" w:rsidRDefault="00BF2165" w:rsidP="005A38FC">
            <w:pPr>
              <w:pStyle w:val="ListParagraph"/>
              <w:numPr>
                <w:ilvl w:val="0"/>
                <w:numId w:val="1"/>
              </w:numPr>
              <w:spacing w:line="240" w:lineRule="auto"/>
              <w:jc w:val="both"/>
              <w:rPr>
                <w:sz w:val="24"/>
              </w:rPr>
            </w:pPr>
          </w:p>
        </w:tc>
        <w:tc>
          <w:tcPr>
            <w:tcW w:w="8170" w:type="dxa"/>
            <w:tcBorders>
              <w:top w:val="single" w:sz="4" w:space="0" w:color="auto"/>
              <w:left w:val="single" w:sz="4" w:space="0" w:color="auto"/>
              <w:bottom w:val="single" w:sz="4" w:space="0" w:color="auto"/>
              <w:right w:val="single" w:sz="4" w:space="0" w:color="auto"/>
            </w:tcBorders>
            <w:hideMark/>
          </w:tcPr>
          <w:p w:rsidR="00BF2165" w:rsidRPr="00B64439" w:rsidRDefault="002C55B6">
            <w:pPr>
              <w:spacing w:line="240" w:lineRule="auto"/>
              <w:jc w:val="both"/>
              <w:rPr>
                <w:sz w:val="24"/>
              </w:rPr>
            </w:pPr>
            <w:r w:rsidRPr="00B64439">
              <w:rPr>
                <w:sz w:val="24"/>
              </w:rPr>
              <w:t xml:space="preserve">Investment by Foreign Portfolio Investors (FPI) in Debt </w:t>
            </w:r>
            <w:r w:rsidR="00121B22" w:rsidRPr="00B64439">
              <w:rPr>
                <w:sz w:val="24"/>
              </w:rPr>
              <w:t>–</w:t>
            </w:r>
            <w:r w:rsidRPr="00B64439">
              <w:rPr>
                <w:sz w:val="24"/>
              </w:rPr>
              <w:t xml:space="preserve"> Relaxations</w:t>
            </w:r>
          </w:p>
        </w:tc>
      </w:tr>
      <w:tr w:rsidR="00BF2165" w:rsidRPr="00B64439" w:rsidTr="00BF2165">
        <w:tc>
          <w:tcPr>
            <w:tcW w:w="846" w:type="dxa"/>
            <w:tcBorders>
              <w:top w:val="single" w:sz="4" w:space="0" w:color="auto"/>
              <w:left w:val="single" w:sz="4" w:space="0" w:color="auto"/>
              <w:bottom w:val="single" w:sz="4" w:space="0" w:color="auto"/>
              <w:right w:val="single" w:sz="4" w:space="0" w:color="auto"/>
            </w:tcBorders>
          </w:tcPr>
          <w:p w:rsidR="00BF2165" w:rsidRPr="00B64439" w:rsidRDefault="00BF2165" w:rsidP="005A38FC">
            <w:pPr>
              <w:pStyle w:val="ListParagraph"/>
              <w:numPr>
                <w:ilvl w:val="0"/>
                <w:numId w:val="1"/>
              </w:numPr>
              <w:spacing w:line="240" w:lineRule="auto"/>
              <w:jc w:val="both"/>
              <w:rPr>
                <w:sz w:val="24"/>
              </w:rPr>
            </w:pPr>
          </w:p>
        </w:tc>
        <w:tc>
          <w:tcPr>
            <w:tcW w:w="8170" w:type="dxa"/>
            <w:tcBorders>
              <w:top w:val="single" w:sz="4" w:space="0" w:color="auto"/>
              <w:left w:val="single" w:sz="4" w:space="0" w:color="auto"/>
              <w:bottom w:val="single" w:sz="4" w:space="0" w:color="auto"/>
              <w:right w:val="single" w:sz="4" w:space="0" w:color="auto"/>
            </w:tcBorders>
            <w:hideMark/>
          </w:tcPr>
          <w:p w:rsidR="00BF2165" w:rsidRPr="00B64439" w:rsidRDefault="002C55B6">
            <w:pPr>
              <w:spacing w:line="240" w:lineRule="auto"/>
              <w:jc w:val="both"/>
              <w:rPr>
                <w:rFonts w:ascii="Calibri" w:hAnsi="Calibri" w:cs="Calibri"/>
                <w:color w:val="000000"/>
                <w:sz w:val="24"/>
                <w:szCs w:val="20"/>
              </w:rPr>
            </w:pPr>
            <w:r w:rsidRPr="00B64439">
              <w:rPr>
                <w:rFonts w:ascii="Calibri" w:hAnsi="Calibri" w:cs="Calibri"/>
                <w:color w:val="000000"/>
                <w:sz w:val="24"/>
                <w:szCs w:val="20"/>
              </w:rPr>
              <w:t>Overseas foreign currency borrowings of Authorised Dealer Category-I banks</w:t>
            </w:r>
          </w:p>
        </w:tc>
      </w:tr>
      <w:tr w:rsidR="00BF2165" w:rsidRPr="00B64439" w:rsidTr="00BF2165">
        <w:tc>
          <w:tcPr>
            <w:tcW w:w="846" w:type="dxa"/>
            <w:tcBorders>
              <w:top w:val="single" w:sz="4" w:space="0" w:color="auto"/>
              <w:left w:val="single" w:sz="4" w:space="0" w:color="auto"/>
              <w:bottom w:val="single" w:sz="4" w:space="0" w:color="auto"/>
              <w:right w:val="single" w:sz="4" w:space="0" w:color="auto"/>
            </w:tcBorders>
          </w:tcPr>
          <w:p w:rsidR="00BF2165" w:rsidRPr="00B64439" w:rsidRDefault="00BF2165" w:rsidP="005A38FC">
            <w:pPr>
              <w:pStyle w:val="ListParagraph"/>
              <w:numPr>
                <w:ilvl w:val="0"/>
                <w:numId w:val="1"/>
              </w:numPr>
              <w:spacing w:line="240" w:lineRule="auto"/>
              <w:jc w:val="both"/>
              <w:rPr>
                <w:sz w:val="24"/>
              </w:rPr>
            </w:pPr>
          </w:p>
        </w:tc>
        <w:tc>
          <w:tcPr>
            <w:tcW w:w="8170" w:type="dxa"/>
            <w:tcBorders>
              <w:top w:val="single" w:sz="4" w:space="0" w:color="auto"/>
              <w:left w:val="single" w:sz="4" w:space="0" w:color="auto"/>
              <w:bottom w:val="single" w:sz="4" w:space="0" w:color="auto"/>
              <w:right w:val="single" w:sz="4" w:space="0" w:color="auto"/>
            </w:tcBorders>
            <w:hideMark/>
          </w:tcPr>
          <w:p w:rsidR="00BF2165" w:rsidRPr="00B64439" w:rsidRDefault="002C55B6">
            <w:pPr>
              <w:spacing w:line="240" w:lineRule="auto"/>
              <w:jc w:val="both"/>
              <w:rPr>
                <w:sz w:val="24"/>
              </w:rPr>
            </w:pPr>
            <w:r w:rsidRPr="00B64439">
              <w:rPr>
                <w:sz w:val="24"/>
              </w:rPr>
              <w:t>International Trade Settlement in Indian Rupees (INR)</w:t>
            </w:r>
          </w:p>
        </w:tc>
      </w:tr>
      <w:tr w:rsidR="00BF2165" w:rsidRPr="00B64439" w:rsidTr="00BF2165">
        <w:tc>
          <w:tcPr>
            <w:tcW w:w="846" w:type="dxa"/>
            <w:tcBorders>
              <w:top w:val="single" w:sz="4" w:space="0" w:color="auto"/>
              <w:left w:val="single" w:sz="4" w:space="0" w:color="auto"/>
              <w:bottom w:val="single" w:sz="4" w:space="0" w:color="auto"/>
              <w:right w:val="single" w:sz="4" w:space="0" w:color="auto"/>
            </w:tcBorders>
          </w:tcPr>
          <w:p w:rsidR="00BF2165" w:rsidRPr="00B64439" w:rsidRDefault="00BF2165" w:rsidP="005A38FC">
            <w:pPr>
              <w:pStyle w:val="ListParagraph"/>
              <w:numPr>
                <w:ilvl w:val="0"/>
                <w:numId w:val="1"/>
              </w:numPr>
              <w:spacing w:line="240" w:lineRule="auto"/>
              <w:jc w:val="both"/>
              <w:rPr>
                <w:sz w:val="24"/>
              </w:rPr>
            </w:pPr>
          </w:p>
        </w:tc>
        <w:tc>
          <w:tcPr>
            <w:tcW w:w="8170" w:type="dxa"/>
            <w:tcBorders>
              <w:top w:val="single" w:sz="4" w:space="0" w:color="auto"/>
              <w:left w:val="single" w:sz="4" w:space="0" w:color="auto"/>
              <w:bottom w:val="single" w:sz="4" w:space="0" w:color="auto"/>
              <w:right w:val="single" w:sz="4" w:space="0" w:color="auto"/>
            </w:tcBorders>
            <w:hideMark/>
          </w:tcPr>
          <w:p w:rsidR="00BF2165" w:rsidRPr="00B64439" w:rsidRDefault="002C55B6">
            <w:pPr>
              <w:spacing w:line="240" w:lineRule="auto"/>
              <w:jc w:val="both"/>
              <w:rPr>
                <w:sz w:val="24"/>
              </w:rPr>
            </w:pPr>
            <w:r w:rsidRPr="00B64439">
              <w:rPr>
                <w:sz w:val="24"/>
              </w:rPr>
              <w:t>Foreign Exchange Management (Borrowing and Lending) (Amendment) Regulations, 2022</w:t>
            </w:r>
          </w:p>
        </w:tc>
      </w:tr>
      <w:tr w:rsidR="00BF2165" w:rsidRPr="00B64439" w:rsidTr="00BF2165">
        <w:tc>
          <w:tcPr>
            <w:tcW w:w="846" w:type="dxa"/>
            <w:tcBorders>
              <w:top w:val="single" w:sz="4" w:space="0" w:color="auto"/>
              <w:left w:val="single" w:sz="4" w:space="0" w:color="auto"/>
              <w:bottom w:val="single" w:sz="4" w:space="0" w:color="auto"/>
              <w:right w:val="single" w:sz="4" w:space="0" w:color="auto"/>
            </w:tcBorders>
          </w:tcPr>
          <w:p w:rsidR="00BF2165" w:rsidRPr="00B64439" w:rsidRDefault="00BF2165" w:rsidP="005A38FC">
            <w:pPr>
              <w:pStyle w:val="ListParagraph"/>
              <w:numPr>
                <w:ilvl w:val="0"/>
                <w:numId w:val="1"/>
              </w:numPr>
              <w:spacing w:line="240" w:lineRule="auto"/>
              <w:jc w:val="both"/>
              <w:rPr>
                <w:sz w:val="24"/>
              </w:rPr>
            </w:pPr>
          </w:p>
        </w:tc>
        <w:tc>
          <w:tcPr>
            <w:tcW w:w="8170" w:type="dxa"/>
            <w:tcBorders>
              <w:top w:val="single" w:sz="4" w:space="0" w:color="auto"/>
              <w:left w:val="single" w:sz="4" w:space="0" w:color="auto"/>
              <w:bottom w:val="single" w:sz="4" w:space="0" w:color="auto"/>
              <w:right w:val="single" w:sz="4" w:space="0" w:color="auto"/>
            </w:tcBorders>
            <w:hideMark/>
          </w:tcPr>
          <w:p w:rsidR="000A094E" w:rsidRPr="00B64439" w:rsidRDefault="002C55B6">
            <w:pPr>
              <w:spacing w:line="240" w:lineRule="auto"/>
              <w:jc w:val="both"/>
              <w:rPr>
                <w:sz w:val="24"/>
              </w:rPr>
            </w:pPr>
            <w:r w:rsidRPr="00B64439">
              <w:rPr>
                <w:sz w:val="24"/>
              </w:rPr>
              <w:t>External Commercial Borrowings (ECB) Policy – Liberalisation Measures</w:t>
            </w:r>
          </w:p>
        </w:tc>
      </w:tr>
      <w:tr w:rsidR="00BF2165" w:rsidRPr="00B64439" w:rsidTr="00BF2165">
        <w:tc>
          <w:tcPr>
            <w:tcW w:w="846" w:type="dxa"/>
            <w:tcBorders>
              <w:top w:val="single" w:sz="4" w:space="0" w:color="auto"/>
              <w:left w:val="single" w:sz="4" w:space="0" w:color="auto"/>
              <w:bottom w:val="single" w:sz="4" w:space="0" w:color="auto"/>
              <w:right w:val="single" w:sz="4" w:space="0" w:color="auto"/>
            </w:tcBorders>
          </w:tcPr>
          <w:p w:rsidR="00BF2165" w:rsidRPr="00B64439" w:rsidRDefault="00BF2165" w:rsidP="005A38FC">
            <w:pPr>
              <w:pStyle w:val="ListParagraph"/>
              <w:numPr>
                <w:ilvl w:val="0"/>
                <w:numId w:val="1"/>
              </w:numPr>
              <w:spacing w:line="240" w:lineRule="auto"/>
              <w:jc w:val="both"/>
              <w:rPr>
                <w:sz w:val="24"/>
              </w:rPr>
            </w:pPr>
          </w:p>
        </w:tc>
        <w:tc>
          <w:tcPr>
            <w:tcW w:w="8170" w:type="dxa"/>
            <w:tcBorders>
              <w:top w:val="single" w:sz="4" w:space="0" w:color="auto"/>
              <w:left w:val="single" w:sz="4" w:space="0" w:color="auto"/>
              <w:bottom w:val="single" w:sz="4" w:space="0" w:color="auto"/>
              <w:right w:val="single" w:sz="4" w:space="0" w:color="auto"/>
            </w:tcBorders>
            <w:hideMark/>
          </w:tcPr>
          <w:p w:rsidR="00BF2165" w:rsidRPr="00B64439" w:rsidRDefault="002C55B6">
            <w:pPr>
              <w:spacing w:line="240" w:lineRule="auto"/>
              <w:jc w:val="both"/>
              <w:rPr>
                <w:sz w:val="24"/>
              </w:rPr>
            </w:pPr>
            <w:r w:rsidRPr="00B64439">
              <w:rPr>
                <w:sz w:val="24"/>
              </w:rPr>
              <w:t>Authorised Dealer Category-I License eligibility for Small Finance Banks</w:t>
            </w:r>
          </w:p>
        </w:tc>
      </w:tr>
      <w:tr w:rsidR="00BF2165" w:rsidRPr="00B64439" w:rsidTr="00BF2165">
        <w:tc>
          <w:tcPr>
            <w:tcW w:w="846" w:type="dxa"/>
            <w:tcBorders>
              <w:top w:val="single" w:sz="4" w:space="0" w:color="auto"/>
              <w:left w:val="single" w:sz="4" w:space="0" w:color="auto"/>
              <w:bottom w:val="single" w:sz="4" w:space="0" w:color="auto"/>
              <w:right w:val="single" w:sz="4" w:space="0" w:color="auto"/>
            </w:tcBorders>
          </w:tcPr>
          <w:p w:rsidR="00BF2165" w:rsidRPr="00B64439" w:rsidRDefault="00BF2165" w:rsidP="005A38FC">
            <w:pPr>
              <w:pStyle w:val="ListParagraph"/>
              <w:numPr>
                <w:ilvl w:val="0"/>
                <w:numId w:val="1"/>
              </w:numPr>
              <w:spacing w:line="240" w:lineRule="auto"/>
              <w:jc w:val="both"/>
              <w:rPr>
                <w:sz w:val="24"/>
              </w:rPr>
            </w:pPr>
          </w:p>
        </w:tc>
        <w:tc>
          <w:tcPr>
            <w:tcW w:w="8170" w:type="dxa"/>
            <w:tcBorders>
              <w:top w:val="single" w:sz="4" w:space="0" w:color="auto"/>
              <w:left w:val="single" w:sz="4" w:space="0" w:color="auto"/>
              <w:bottom w:val="single" w:sz="4" w:space="0" w:color="auto"/>
              <w:right w:val="single" w:sz="4" w:space="0" w:color="auto"/>
            </w:tcBorders>
            <w:hideMark/>
          </w:tcPr>
          <w:p w:rsidR="00BF2165" w:rsidRPr="00B64439" w:rsidRDefault="002C55B6">
            <w:pPr>
              <w:spacing w:line="240" w:lineRule="auto"/>
              <w:jc w:val="both"/>
              <w:rPr>
                <w:sz w:val="24"/>
              </w:rPr>
            </w:pPr>
            <w:r w:rsidRPr="00B64439">
              <w:rPr>
                <w:sz w:val="24"/>
              </w:rPr>
              <w:t xml:space="preserve">Rupee Interest Rate Derivatives (Reserve Bank) Directions </w:t>
            </w:r>
            <w:r w:rsidR="00121B22" w:rsidRPr="00B64439">
              <w:rPr>
                <w:sz w:val="24"/>
              </w:rPr>
              <w:t>–</w:t>
            </w:r>
            <w:r w:rsidRPr="00B64439">
              <w:rPr>
                <w:sz w:val="24"/>
              </w:rPr>
              <w:t xml:space="preserve"> Review</w:t>
            </w:r>
          </w:p>
        </w:tc>
      </w:tr>
      <w:tr w:rsidR="00BF2165" w:rsidRPr="00B64439" w:rsidTr="00BF2165">
        <w:tc>
          <w:tcPr>
            <w:tcW w:w="846" w:type="dxa"/>
            <w:tcBorders>
              <w:top w:val="single" w:sz="4" w:space="0" w:color="auto"/>
              <w:left w:val="single" w:sz="4" w:space="0" w:color="auto"/>
              <w:bottom w:val="single" w:sz="4" w:space="0" w:color="auto"/>
              <w:right w:val="single" w:sz="4" w:space="0" w:color="auto"/>
            </w:tcBorders>
          </w:tcPr>
          <w:p w:rsidR="00BF2165" w:rsidRPr="00B64439" w:rsidRDefault="00BF2165" w:rsidP="005A38FC">
            <w:pPr>
              <w:pStyle w:val="ListParagraph"/>
              <w:numPr>
                <w:ilvl w:val="0"/>
                <w:numId w:val="1"/>
              </w:numPr>
              <w:spacing w:line="240" w:lineRule="auto"/>
              <w:jc w:val="both"/>
              <w:rPr>
                <w:sz w:val="24"/>
              </w:rPr>
            </w:pPr>
          </w:p>
        </w:tc>
        <w:tc>
          <w:tcPr>
            <w:tcW w:w="8170" w:type="dxa"/>
            <w:tcBorders>
              <w:top w:val="single" w:sz="4" w:space="0" w:color="auto"/>
              <w:left w:val="single" w:sz="4" w:space="0" w:color="auto"/>
              <w:bottom w:val="single" w:sz="4" w:space="0" w:color="auto"/>
              <w:right w:val="single" w:sz="4" w:space="0" w:color="auto"/>
            </w:tcBorders>
            <w:hideMark/>
          </w:tcPr>
          <w:p w:rsidR="00BF2165" w:rsidRPr="00B64439" w:rsidRDefault="002C55B6">
            <w:pPr>
              <w:spacing w:line="240" w:lineRule="auto"/>
              <w:jc w:val="both"/>
              <w:rPr>
                <w:sz w:val="24"/>
              </w:rPr>
            </w:pPr>
            <w:r w:rsidRPr="00B64439">
              <w:rPr>
                <w:sz w:val="24"/>
              </w:rPr>
              <w:t>Foreign Exchange Management (Overseas Investment) Regulations, 2022</w:t>
            </w:r>
          </w:p>
        </w:tc>
      </w:tr>
      <w:tr w:rsidR="002C55B6" w:rsidRPr="00B64439" w:rsidTr="00BF2165">
        <w:tc>
          <w:tcPr>
            <w:tcW w:w="846" w:type="dxa"/>
            <w:tcBorders>
              <w:top w:val="single" w:sz="4" w:space="0" w:color="auto"/>
              <w:left w:val="single" w:sz="4" w:space="0" w:color="auto"/>
              <w:bottom w:val="single" w:sz="4" w:space="0" w:color="auto"/>
              <w:right w:val="single" w:sz="4" w:space="0" w:color="auto"/>
            </w:tcBorders>
          </w:tcPr>
          <w:p w:rsidR="002C55B6" w:rsidRPr="00B64439" w:rsidRDefault="002C55B6" w:rsidP="005A38FC">
            <w:pPr>
              <w:pStyle w:val="ListParagraph"/>
              <w:numPr>
                <w:ilvl w:val="0"/>
                <w:numId w:val="1"/>
              </w:numPr>
              <w:spacing w:line="240" w:lineRule="auto"/>
              <w:jc w:val="both"/>
              <w:rPr>
                <w:sz w:val="24"/>
              </w:rPr>
            </w:pPr>
          </w:p>
        </w:tc>
        <w:tc>
          <w:tcPr>
            <w:tcW w:w="8170" w:type="dxa"/>
            <w:tcBorders>
              <w:top w:val="single" w:sz="4" w:space="0" w:color="auto"/>
              <w:left w:val="single" w:sz="4" w:space="0" w:color="auto"/>
              <w:bottom w:val="single" w:sz="4" w:space="0" w:color="auto"/>
              <w:right w:val="single" w:sz="4" w:space="0" w:color="auto"/>
            </w:tcBorders>
          </w:tcPr>
          <w:p w:rsidR="002C55B6" w:rsidRPr="00B64439" w:rsidRDefault="002C55B6">
            <w:pPr>
              <w:spacing w:line="240" w:lineRule="auto"/>
              <w:jc w:val="both"/>
              <w:rPr>
                <w:rFonts w:ascii="Calibri" w:hAnsi="Calibri" w:cs="Calibri"/>
                <w:color w:val="000000"/>
                <w:sz w:val="24"/>
                <w:szCs w:val="20"/>
              </w:rPr>
            </w:pPr>
            <w:r w:rsidRPr="00B64439">
              <w:rPr>
                <w:rFonts w:ascii="Calibri" w:hAnsi="Calibri" w:cs="Calibri"/>
                <w:color w:val="000000"/>
                <w:sz w:val="24"/>
                <w:szCs w:val="20"/>
              </w:rPr>
              <w:t>Foreign Exchange Management (Overseas Investment) Directions, 2022</w:t>
            </w:r>
          </w:p>
        </w:tc>
      </w:tr>
      <w:tr w:rsidR="002C55B6" w:rsidRPr="00B64439" w:rsidTr="00BF2165">
        <w:tc>
          <w:tcPr>
            <w:tcW w:w="846" w:type="dxa"/>
            <w:tcBorders>
              <w:top w:val="single" w:sz="4" w:space="0" w:color="auto"/>
              <w:left w:val="single" w:sz="4" w:space="0" w:color="auto"/>
              <w:bottom w:val="single" w:sz="4" w:space="0" w:color="auto"/>
              <w:right w:val="single" w:sz="4" w:space="0" w:color="auto"/>
            </w:tcBorders>
          </w:tcPr>
          <w:p w:rsidR="002C55B6" w:rsidRPr="00B64439" w:rsidRDefault="002C55B6" w:rsidP="005A38FC">
            <w:pPr>
              <w:pStyle w:val="ListParagraph"/>
              <w:numPr>
                <w:ilvl w:val="0"/>
                <w:numId w:val="1"/>
              </w:numPr>
              <w:spacing w:line="240" w:lineRule="auto"/>
              <w:jc w:val="both"/>
              <w:rPr>
                <w:sz w:val="24"/>
              </w:rPr>
            </w:pPr>
          </w:p>
        </w:tc>
        <w:tc>
          <w:tcPr>
            <w:tcW w:w="8170" w:type="dxa"/>
            <w:tcBorders>
              <w:top w:val="single" w:sz="4" w:space="0" w:color="auto"/>
              <w:left w:val="single" w:sz="4" w:space="0" w:color="auto"/>
              <w:bottom w:val="single" w:sz="4" w:space="0" w:color="auto"/>
              <w:right w:val="single" w:sz="4" w:space="0" w:color="auto"/>
            </w:tcBorders>
          </w:tcPr>
          <w:p w:rsidR="002C55B6" w:rsidRPr="00B64439" w:rsidRDefault="002C55B6">
            <w:pPr>
              <w:spacing w:line="240" w:lineRule="auto"/>
              <w:jc w:val="both"/>
              <w:rPr>
                <w:rFonts w:ascii="Calibri" w:hAnsi="Calibri" w:cs="Calibri"/>
                <w:color w:val="000000"/>
                <w:sz w:val="24"/>
                <w:szCs w:val="20"/>
              </w:rPr>
            </w:pPr>
            <w:r w:rsidRPr="00B64439">
              <w:rPr>
                <w:rFonts w:ascii="Calibri" w:hAnsi="Calibri" w:cs="Calibri"/>
                <w:color w:val="000000"/>
                <w:sz w:val="24"/>
                <w:szCs w:val="20"/>
              </w:rPr>
              <w:t>Rupee Drawing Arrangement - Enabling Bharat Bill Payment System (BBPS) to process cross-border inbound Bill Payments</w:t>
            </w:r>
          </w:p>
        </w:tc>
      </w:tr>
      <w:tr w:rsidR="002C55B6" w:rsidRPr="00B64439" w:rsidTr="00BF2165">
        <w:tc>
          <w:tcPr>
            <w:tcW w:w="846" w:type="dxa"/>
            <w:tcBorders>
              <w:top w:val="single" w:sz="4" w:space="0" w:color="auto"/>
              <w:left w:val="single" w:sz="4" w:space="0" w:color="auto"/>
              <w:bottom w:val="single" w:sz="4" w:space="0" w:color="auto"/>
              <w:right w:val="single" w:sz="4" w:space="0" w:color="auto"/>
            </w:tcBorders>
          </w:tcPr>
          <w:p w:rsidR="002C55B6" w:rsidRPr="00B64439" w:rsidRDefault="002C55B6" w:rsidP="005A38FC">
            <w:pPr>
              <w:pStyle w:val="ListParagraph"/>
              <w:numPr>
                <w:ilvl w:val="0"/>
                <w:numId w:val="1"/>
              </w:numPr>
              <w:spacing w:line="240" w:lineRule="auto"/>
              <w:jc w:val="both"/>
              <w:rPr>
                <w:sz w:val="24"/>
              </w:rPr>
            </w:pPr>
          </w:p>
        </w:tc>
        <w:tc>
          <w:tcPr>
            <w:tcW w:w="8170" w:type="dxa"/>
            <w:tcBorders>
              <w:top w:val="single" w:sz="4" w:space="0" w:color="auto"/>
              <w:left w:val="single" w:sz="4" w:space="0" w:color="auto"/>
              <w:bottom w:val="single" w:sz="4" w:space="0" w:color="auto"/>
              <w:right w:val="single" w:sz="4" w:space="0" w:color="auto"/>
            </w:tcBorders>
          </w:tcPr>
          <w:p w:rsidR="002C55B6" w:rsidRPr="00B64439" w:rsidRDefault="002C55B6">
            <w:pPr>
              <w:spacing w:line="240" w:lineRule="auto"/>
              <w:jc w:val="both"/>
              <w:rPr>
                <w:rFonts w:ascii="Calibri" w:hAnsi="Calibri" w:cs="Calibri"/>
                <w:color w:val="000000"/>
                <w:sz w:val="24"/>
                <w:szCs w:val="20"/>
              </w:rPr>
            </w:pPr>
            <w:r w:rsidRPr="00B64439">
              <w:rPr>
                <w:rFonts w:ascii="Calibri" w:hAnsi="Calibri" w:cs="Calibri"/>
                <w:color w:val="000000"/>
                <w:sz w:val="24"/>
                <w:szCs w:val="20"/>
              </w:rPr>
              <w:t>Late Submission Fee for reporting delays under Foreign Exchange Management Act, 1999 (FEMA)</w:t>
            </w:r>
          </w:p>
        </w:tc>
      </w:tr>
      <w:tr w:rsidR="00624464" w:rsidRPr="00B64439" w:rsidTr="00BF2165">
        <w:tc>
          <w:tcPr>
            <w:tcW w:w="846" w:type="dxa"/>
            <w:tcBorders>
              <w:top w:val="single" w:sz="4" w:space="0" w:color="auto"/>
              <w:left w:val="single" w:sz="4" w:space="0" w:color="auto"/>
              <w:bottom w:val="single" w:sz="4" w:space="0" w:color="auto"/>
              <w:right w:val="single" w:sz="4" w:space="0" w:color="auto"/>
            </w:tcBorders>
          </w:tcPr>
          <w:p w:rsidR="00624464" w:rsidRPr="00B64439" w:rsidRDefault="00624464" w:rsidP="00624464">
            <w:pPr>
              <w:pStyle w:val="ListParagraph"/>
              <w:numPr>
                <w:ilvl w:val="0"/>
                <w:numId w:val="1"/>
              </w:numPr>
              <w:spacing w:line="240" w:lineRule="auto"/>
              <w:jc w:val="both"/>
              <w:rPr>
                <w:sz w:val="24"/>
              </w:rPr>
            </w:pPr>
          </w:p>
        </w:tc>
        <w:tc>
          <w:tcPr>
            <w:tcW w:w="8170" w:type="dxa"/>
            <w:tcBorders>
              <w:top w:val="single" w:sz="4" w:space="0" w:color="auto"/>
              <w:left w:val="single" w:sz="4" w:space="0" w:color="auto"/>
              <w:bottom w:val="single" w:sz="4" w:space="0" w:color="auto"/>
              <w:right w:val="single" w:sz="4" w:space="0" w:color="auto"/>
            </w:tcBorders>
          </w:tcPr>
          <w:p w:rsidR="00624464" w:rsidRPr="00B64439" w:rsidRDefault="00624464" w:rsidP="00624464">
            <w:pPr>
              <w:spacing w:line="240" w:lineRule="auto"/>
              <w:jc w:val="both"/>
              <w:rPr>
                <w:rFonts w:ascii="Calibri" w:hAnsi="Calibri" w:cs="Calibri"/>
                <w:color w:val="000000"/>
                <w:sz w:val="24"/>
                <w:szCs w:val="20"/>
              </w:rPr>
            </w:pPr>
            <w:r w:rsidRPr="00B64439">
              <w:rPr>
                <w:rFonts w:ascii="Calibri" w:hAnsi="Calibri" w:cs="Calibri"/>
                <w:color w:val="000000"/>
                <w:sz w:val="24"/>
                <w:szCs w:val="20"/>
              </w:rPr>
              <w:t>Notification of Significant Benchmark</w:t>
            </w:r>
          </w:p>
        </w:tc>
      </w:tr>
      <w:tr w:rsidR="002C55B6" w:rsidRPr="00B64439" w:rsidTr="00BF2165">
        <w:tc>
          <w:tcPr>
            <w:tcW w:w="846" w:type="dxa"/>
            <w:tcBorders>
              <w:top w:val="single" w:sz="4" w:space="0" w:color="auto"/>
              <w:left w:val="single" w:sz="4" w:space="0" w:color="auto"/>
              <w:bottom w:val="single" w:sz="4" w:space="0" w:color="auto"/>
              <w:right w:val="single" w:sz="4" w:space="0" w:color="auto"/>
            </w:tcBorders>
          </w:tcPr>
          <w:p w:rsidR="002C55B6" w:rsidRPr="00B64439" w:rsidRDefault="002C55B6" w:rsidP="005A38FC">
            <w:pPr>
              <w:pStyle w:val="ListParagraph"/>
              <w:numPr>
                <w:ilvl w:val="0"/>
                <w:numId w:val="1"/>
              </w:numPr>
              <w:spacing w:line="240" w:lineRule="auto"/>
              <w:jc w:val="both"/>
              <w:rPr>
                <w:sz w:val="24"/>
              </w:rPr>
            </w:pPr>
          </w:p>
        </w:tc>
        <w:tc>
          <w:tcPr>
            <w:tcW w:w="8170" w:type="dxa"/>
            <w:tcBorders>
              <w:top w:val="single" w:sz="4" w:space="0" w:color="auto"/>
              <w:left w:val="single" w:sz="4" w:space="0" w:color="auto"/>
              <w:bottom w:val="single" w:sz="4" w:space="0" w:color="auto"/>
              <w:right w:val="single" w:sz="4" w:space="0" w:color="auto"/>
            </w:tcBorders>
          </w:tcPr>
          <w:p w:rsidR="002C55B6" w:rsidRPr="00B64439" w:rsidRDefault="002C55B6">
            <w:pPr>
              <w:spacing w:line="240" w:lineRule="auto"/>
              <w:jc w:val="both"/>
              <w:rPr>
                <w:rFonts w:ascii="Calibri" w:hAnsi="Calibri" w:cs="Calibri"/>
                <w:color w:val="000000"/>
                <w:sz w:val="24"/>
                <w:szCs w:val="20"/>
              </w:rPr>
            </w:pPr>
            <w:r w:rsidRPr="00B64439">
              <w:rPr>
                <w:rFonts w:ascii="Calibri" w:hAnsi="Calibri" w:cs="Calibri"/>
                <w:color w:val="000000"/>
                <w:sz w:val="24"/>
                <w:szCs w:val="20"/>
              </w:rPr>
              <w:t xml:space="preserve">Operations of subsidiaries and branches of Indian banks and All India Financial Institutions (AIFIs) in foreign jurisdictions and in International Financial Services </w:t>
            </w:r>
            <w:proofErr w:type="spellStart"/>
            <w:r w:rsidRPr="00B64439">
              <w:rPr>
                <w:rFonts w:ascii="Calibri" w:hAnsi="Calibri" w:cs="Calibri"/>
                <w:color w:val="000000"/>
                <w:sz w:val="24"/>
                <w:szCs w:val="20"/>
              </w:rPr>
              <w:t>Centers</w:t>
            </w:r>
            <w:proofErr w:type="spellEnd"/>
            <w:r w:rsidRPr="00B64439">
              <w:rPr>
                <w:rFonts w:ascii="Calibri" w:hAnsi="Calibri" w:cs="Calibri"/>
                <w:color w:val="000000"/>
                <w:sz w:val="24"/>
                <w:szCs w:val="20"/>
              </w:rPr>
              <w:t xml:space="preserve"> (IFSCs) - Compliance with statutory/regulatory norms</w:t>
            </w:r>
          </w:p>
        </w:tc>
      </w:tr>
      <w:tr w:rsidR="002C55B6" w:rsidRPr="00B64439" w:rsidTr="00BF2165">
        <w:tc>
          <w:tcPr>
            <w:tcW w:w="846" w:type="dxa"/>
            <w:tcBorders>
              <w:top w:val="single" w:sz="4" w:space="0" w:color="auto"/>
              <w:left w:val="single" w:sz="4" w:space="0" w:color="auto"/>
              <w:bottom w:val="single" w:sz="4" w:space="0" w:color="auto"/>
              <w:right w:val="single" w:sz="4" w:space="0" w:color="auto"/>
            </w:tcBorders>
          </w:tcPr>
          <w:p w:rsidR="002C55B6" w:rsidRPr="00B64439" w:rsidRDefault="002C55B6" w:rsidP="005A38FC">
            <w:pPr>
              <w:pStyle w:val="ListParagraph"/>
              <w:numPr>
                <w:ilvl w:val="0"/>
                <w:numId w:val="1"/>
              </w:numPr>
              <w:spacing w:line="240" w:lineRule="auto"/>
              <w:jc w:val="both"/>
              <w:rPr>
                <w:sz w:val="24"/>
              </w:rPr>
            </w:pPr>
          </w:p>
        </w:tc>
        <w:tc>
          <w:tcPr>
            <w:tcW w:w="8170" w:type="dxa"/>
            <w:tcBorders>
              <w:top w:val="single" w:sz="4" w:space="0" w:color="auto"/>
              <w:left w:val="single" w:sz="4" w:space="0" w:color="auto"/>
              <w:bottom w:val="single" w:sz="4" w:space="0" w:color="auto"/>
              <w:right w:val="single" w:sz="4" w:space="0" w:color="auto"/>
            </w:tcBorders>
          </w:tcPr>
          <w:p w:rsidR="002C55B6" w:rsidRPr="00B64439" w:rsidRDefault="002C55B6">
            <w:pPr>
              <w:spacing w:line="240" w:lineRule="auto"/>
              <w:jc w:val="both"/>
              <w:rPr>
                <w:rFonts w:ascii="Calibri" w:hAnsi="Calibri" w:cs="Calibri"/>
                <w:color w:val="000000"/>
                <w:sz w:val="24"/>
                <w:szCs w:val="20"/>
              </w:rPr>
            </w:pPr>
            <w:r w:rsidRPr="00B64439">
              <w:rPr>
                <w:rFonts w:ascii="Calibri" w:hAnsi="Calibri" w:cs="Calibri"/>
                <w:color w:val="000000"/>
                <w:sz w:val="24"/>
                <w:szCs w:val="20"/>
              </w:rPr>
              <w:t>Hedging of Gold Price Risk in Overseas Markets</w:t>
            </w:r>
          </w:p>
        </w:tc>
      </w:tr>
      <w:tr w:rsidR="002C55B6" w:rsidRPr="00B64439" w:rsidTr="00BF2165">
        <w:tc>
          <w:tcPr>
            <w:tcW w:w="846" w:type="dxa"/>
            <w:tcBorders>
              <w:top w:val="single" w:sz="4" w:space="0" w:color="auto"/>
              <w:left w:val="single" w:sz="4" w:space="0" w:color="auto"/>
              <w:bottom w:val="single" w:sz="4" w:space="0" w:color="auto"/>
              <w:right w:val="single" w:sz="4" w:space="0" w:color="auto"/>
            </w:tcBorders>
          </w:tcPr>
          <w:p w:rsidR="002C55B6" w:rsidRPr="00B64439" w:rsidRDefault="002C55B6" w:rsidP="005A38FC">
            <w:pPr>
              <w:pStyle w:val="ListParagraph"/>
              <w:numPr>
                <w:ilvl w:val="0"/>
                <w:numId w:val="1"/>
              </w:numPr>
              <w:spacing w:line="240" w:lineRule="auto"/>
              <w:jc w:val="both"/>
              <w:rPr>
                <w:sz w:val="24"/>
              </w:rPr>
            </w:pPr>
          </w:p>
        </w:tc>
        <w:tc>
          <w:tcPr>
            <w:tcW w:w="8170" w:type="dxa"/>
            <w:tcBorders>
              <w:top w:val="single" w:sz="4" w:space="0" w:color="auto"/>
              <w:left w:val="single" w:sz="4" w:space="0" w:color="auto"/>
              <w:bottom w:val="single" w:sz="4" w:space="0" w:color="auto"/>
              <w:right w:val="single" w:sz="4" w:space="0" w:color="auto"/>
            </w:tcBorders>
          </w:tcPr>
          <w:p w:rsidR="002C55B6" w:rsidRPr="00B64439" w:rsidRDefault="002C55B6">
            <w:pPr>
              <w:spacing w:line="240" w:lineRule="auto"/>
              <w:jc w:val="both"/>
              <w:rPr>
                <w:rFonts w:ascii="Calibri" w:hAnsi="Calibri" w:cs="Calibri"/>
                <w:color w:val="000000"/>
                <w:sz w:val="24"/>
                <w:szCs w:val="20"/>
              </w:rPr>
            </w:pPr>
            <w:r w:rsidRPr="00B64439">
              <w:rPr>
                <w:rFonts w:ascii="Calibri" w:hAnsi="Calibri" w:cs="Calibri"/>
                <w:color w:val="000000"/>
                <w:sz w:val="24"/>
                <w:szCs w:val="20"/>
              </w:rPr>
              <w:t>Master Direction – Foreign Exchange Management (Hedging of Commodity Price Risk and Freight Risk in Overseas Markets) Directions, 2022</w:t>
            </w:r>
          </w:p>
        </w:tc>
      </w:tr>
    </w:tbl>
    <w:p w:rsidR="00BF2165" w:rsidRDefault="00BF2165" w:rsidP="00BF2165">
      <w:pPr>
        <w:jc w:val="both"/>
      </w:pPr>
    </w:p>
    <w:p w:rsidR="00744532" w:rsidRDefault="00744532">
      <w:pPr>
        <w:spacing w:line="259" w:lineRule="auto"/>
      </w:pPr>
      <w:r>
        <w:br w:type="page"/>
      </w:r>
    </w:p>
    <w:p w:rsidR="00BF2165" w:rsidRDefault="002C55B6" w:rsidP="00BF2165">
      <w:pPr>
        <w:spacing w:after="0"/>
        <w:jc w:val="both"/>
        <w:rPr>
          <w:rFonts w:ascii="Arial" w:hAnsi="Arial" w:cs="Arial"/>
          <w:b/>
          <w:bCs/>
          <w:color w:val="000000"/>
          <w:sz w:val="20"/>
          <w:szCs w:val="20"/>
        </w:rPr>
      </w:pPr>
      <w:r>
        <w:rPr>
          <w:rFonts w:ascii="Arial" w:hAnsi="Arial" w:cs="Arial"/>
          <w:b/>
          <w:bCs/>
          <w:color w:val="000000"/>
          <w:sz w:val="20"/>
          <w:szCs w:val="20"/>
        </w:rPr>
        <w:lastRenderedPageBreak/>
        <w:t>Investment by Foreign Portfolio Investors (FPI) in Debt - Relaxations</w:t>
      </w:r>
    </w:p>
    <w:p w:rsidR="002C55B6" w:rsidRDefault="002C55B6" w:rsidP="002A3764">
      <w:pPr>
        <w:pStyle w:val="NormalWeb"/>
        <w:jc w:val="both"/>
        <w:rPr>
          <w:rFonts w:ascii="Arial" w:hAnsi="Arial" w:cs="Arial"/>
          <w:color w:val="000000"/>
          <w:sz w:val="20"/>
          <w:szCs w:val="20"/>
        </w:rPr>
      </w:pPr>
      <w:r>
        <w:rPr>
          <w:rFonts w:ascii="Arial" w:hAnsi="Arial" w:cs="Arial"/>
          <w:color w:val="000000"/>
          <w:sz w:val="20"/>
          <w:szCs w:val="20"/>
        </w:rPr>
        <w:t>RBI/2022-23/87</w:t>
      </w:r>
      <w:r>
        <w:rPr>
          <w:rFonts w:ascii="Arial" w:hAnsi="Arial" w:cs="Arial"/>
          <w:color w:val="000000"/>
          <w:sz w:val="20"/>
          <w:szCs w:val="20"/>
        </w:rPr>
        <w:br/>
        <w:t>A.P. (DIR Series) Circular No.07</w:t>
      </w:r>
    </w:p>
    <w:p w:rsidR="002C55B6" w:rsidRDefault="002C55B6" w:rsidP="002C55B6">
      <w:pPr>
        <w:pStyle w:val="NormalWeb"/>
        <w:jc w:val="right"/>
        <w:rPr>
          <w:rFonts w:ascii="Arial" w:hAnsi="Arial" w:cs="Arial"/>
          <w:color w:val="000000"/>
          <w:sz w:val="20"/>
          <w:szCs w:val="20"/>
        </w:rPr>
      </w:pPr>
      <w:r>
        <w:rPr>
          <w:rFonts w:ascii="Arial" w:hAnsi="Arial" w:cs="Arial"/>
          <w:color w:val="000000"/>
          <w:sz w:val="20"/>
          <w:szCs w:val="20"/>
        </w:rPr>
        <w:t>July 07, 2022</w:t>
      </w:r>
    </w:p>
    <w:p w:rsidR="002C55B6" w:rsidRDefault="002C55B6" w:rsidP="002C55B6">
      <w:pPr>
        <w:pStyle w:val="NormalWeb"/>
        <w:jc w:val="both"/>
        <w:rPr>
          <w:rFonts w:ascii="Arial" w:hAnsi="Arial" w:cs="Arial"/>
          <w:color w:val="000000"/>
          <w:sz w:val="20"/>
          <w:szCs w:val="20"/>
        </w:rPr>
      </w:pPr>
      <w:r>
        <w:rPr>
          <w:rFonts w:ascii="Arial" w:hAnsi="Arial" w:cs="Arial"/>
          <w:color w:val="000000"/>
          <w:sz w:val="20"/>
          <w:szCs w:val="20"/>
        </w:rPr>
        <w:t>To</w:t>
      </w:r>
      <w:r>
        <w:rPr>
          <w:rFonts w:ascii="Arial" w:hAnsi="Arial" w:cs="Arial"/>
          <w:color w:val="000000"/>
          <w:sz w:val="20"/>
          <w:szCs w:val="20"/>
        </w:rPr>
        <w:br/>
        <w:t>All Authorised Persons</w:t>
      </w:r>
    </w:p>
    <w:p w:rsidR="002C55B6" w:rsidRDefault="002C55B6" w:rsidP="002C55B6">
      <w:pPr>
        <w:pStyle w:val="NormalWeb"/>
        <w:jc w:val="both"/>
        <w:rPr>
          <w:rFonts w:ascii="Arial" w:hAnsi="Arial" w:cs="Arial"/>
          <w:color w:val="000000"/>
          <w:sz w:val="20"/>
          <w:szCs w:val="20"/>
        </w:rPr>
      </w:pPr>
      <w:r>
        <w:rPr>
          <w:rFonts w:ascii="Arial" w:hAnsi="Arial" w:cs="Arial"/>
          <w:color w:val="000000"/>
          <w:sz w:val="20"/>
          <w:szCs w:val="20"/>
        </w:rPr>
        <w:t>Madam/Sir,</w:t>
      </w:r>
    </w:p>
    <w:p w:rsidR="002C55B6" w:rsidRDefault="002C55B6" w:rsidP="002C55B6">
      <w:pPr>
        <w:pStyle w:val="head"/>
        <w:jc w:val="both"/>
        <w:rPr>
          <w:rFonts w:ascii="Arial" w:hAnsi="Arial" w:cs="Arial"/>
          <w:b/>
          <w:bCs/>
          <w:color w:val="000000"/>
          <w:sz w:val="20"/>
          <w:szCs w:val="20"/>
        </w:rPr>
      </w:pPr>
      <w:r>
        <w:rPr>
          <w:rFonts w:ascii="Arial" w:hAnsi="Arial" w:cs="Arial"/>
          <w:b/>
          <w:bCs/>
          <w:color w:val="000000"/>
          <w:sz w:val="20"/>
          <w:szCs w:val="20"/>
        </w:rPr>
        <w:t>Investment by Foreign Portfolio Investors (FPI) in Debt - Relaxations</w:t>
      </w:r>
    </w:p>
    <w:p w:rsidR="002C55B6" w:rsidRDefault="002C55B6" w:rsidP="002C55B6">
      <w:pPr>
        <w:pStyle w:val="NormalWeb"/>
        <w:jc w:val="both"/>
        <w:rPr>
          <w:rFonts w:ascii="Arial" w:hAnsi="Arial" w:cs="Arial"/>
          <w:color w:val="000000"/>
          <w:sz w:val="20"/>
          <w:szCs w:val="20"/>
        </w:rPr>
      </w:pPr>
      <w:r>
        <w:rPr>
          <w:rFonts w:ascii="Arial" w:hAnsi="Arial" w:cs="Arial"/>
          <w:color w:val="000000"/>
          <w:sz w:val="20"/>
          <w:szCs w:val="20"/>
        </w:rPr>
        <w:t>Attention of Authorised Dealer Category-I (AD Category-I) banks is invited to the paragraph 3 of the </w:t>
      </w:r>
      <w:hyperlink r:id="rId6" w:tgtFrame="_blank" w:history="1">
        <w:r>
          <w:rPr>
            <w:rStyle w:val="Hyperlink"/>
            <w:rFonts w:ascii="Arial" w:hAnsi="Arial" w:cs="Arial"/>
            <w:sz w:val="20"/>
            <w:szCs w:val="20"/>
          </w:rPr>
          <w:t>press release on “Liberalisation of Forex Flows” dated July 06, 2022</w:t>
        </w:r>
      </w:hyperlink>
      <w:r>
        <w:rPr>
          <w:rFonts w:ascii="Arial" w:hAnsi="Arial" w:cs="Arial"/>
          <w:color w:val="000000"/>
          <w:sz w:val="20"/>
          <w:szCs w:val="20"/>
        </w:rPr>
        <w:t> regarding relaxations in the regulatory regime under the Medium-Term Framework. A reference is also invited to:</w:t>
      </w:r>
    </w:p>
    <w:p w:rsidR="002C55B6" w:rsidRDefault="002C55B6" w:rsidP="002C55B6">
      <w:pPr>
        <w:pStyle w:val="NormalWeb"/>
        <w:numPr>
          <w:ilvl w:val="0"/>
          <w:numId w:val="5"/>
        </w:numPr>
        <w:ind w:left="0"/>
        <w:jc w:val="both"/>
        <w:rPr>
          <w:rFonts w:ascii="Arial" w:hAnsi="Arial" w:cs="Arial"/>
          <w:color w:val="000000"/>
          <w:sz w:val="20"/>
          <w:szCs w:val="20"/>
        </w:rPr>
      </w:pPr>
      <w:r>
        <w:rPr>
          <w:rFonts w:ascii="Arial" w:hAnsi="Arial" w:cs="Arial"/>
          <w:color w:val="000000"/>
          <w:sz w:val="20"/>
          <w:szCs w:val="20"/>
        </w:rPr>
        <w:t>the Foreign Exchange Management (Debt Instruments) Regulations, 2019 notified vide </w:t>
      </w:r>
      <w:hyperlink r:id="rId7" w:tgtFrame="_blank" w:history="1">
        <w:r>
          <w:rPr>
            <w:rStyle w:val="Hyperlink"/>
            <w:rFonts w:ascii="Arial" w:hAnsi="Arial" w:cs="Arial"/>
            <w:sz w:val="20"/>
            <w:szCs w:val="20"/>
          </w:rPr>
          <w:t>Notification No. FEMA. 396/2019-RB dated October 17, 2019</w:t>
        </w:r>
      </w:hyperlink>
      <w:r>
        <w:rPr>
          <w:rFonts w:ascii="Arial" w:hAnsi="Arial" w:cs="Arial"/>
          <w:color w:val="000000"/>
          <w:sz w:val="20"/>
          <w:szCs w:val="20"/>
        </w:rPr>
        <w:t>, as amended from time to time, and the relevant directions issued thereunder; and</w:t>
      </w:r>
    </w:p>
    <w:p w:rsidR="002C55B6" w:rsidRDefault="002C55B6" w:rsidP="002C55B6">
      <w:pPr>
        <w:pStyle w:val="NormalWeb"/>
        <w:numPr>
          <w:ilvl w:val="0"/>
          <w:numId w:val="5"/>
        </w:numPr>
        <w:ind w:left="0"/>
        <w:jc w:val="both"/>
        <w:rPr>
          <w:rFonts w:ascii="Arial" w:hAnsi="Arial" w:cs="Arial"/>
          <w:color w:val="000000"/>
          <w:sz w:val="20"/>
          <w:szCs w:val="20"/>
        </w:rPr>
      </w:pPr>
      <w:r>
        <w:rPr>
          <w:rFonts w:ascii="Arial" w:hAnsi="Arial" w:cs="Arial"/>
          <w:color w:val="000000"/>
          <w:sz w:val="20"/>
          <w:szCs w:val="20"/>
        </w:rPr>
        <w:t>the </w:t>
      </w:r>
      <w:hyperlink r:id="rId8" w:tgtFrame="_blank" w:history="1">
        <w:r>
          <w:rPr>
            <w:rStyle w:val="Hyperlink"/>
            <w:rFonts w:ascii="Arial" w:hAnsi="Arial" w:cs="Arial"/>
            <w:sz w:val="20"/>
            <w:szCs w:val="20"/>
          </w:rPr>
          <w:t>A.P. (DIR Series) Circular No. 31 dated June 15, 2018</w:t>
        </w:r>
      </w:hyperlink>
      <w:r>
        <w:rPr>
          <w:rFonts w:ascii="Arial" w:hAnsi="Arial" w:cs="Arial"/>
          <w:color w:val="000000"/>
          <w:sz w:val="20"/>
          <w:szCs w:val="20"/>
        </w:rPr>
        <w:t> (hereinafter, Directions), as amended from time to time.</w:t>
      </w:r>
    </w:p>
    <w:p w:rsidR="002C55B6" w:rsidRDefault="002C55B6" w:rsidP="002C55B6">
      <w:pPr>
        <w:pStyle w:val="NormalWeb"/>
        <w:jc w:val="both"/>
        <w:rPr>
          <w:rFonts w:ascii="Arial" w:hAnsi="Arial" w:cs="Arial"/>
          <w:color w:val="000000"/>
          <w:sz w:val="20"/>
          <w:szCs w:val="20"/>
        </w:rPr>
      </w:pPr>
      <w:r>
        <w:rPr>
          <w:rFonts w:ascii="Arial" w:hAnsi="Arial" w:cs="Arial"/>
          <w:color w:val="000000"/>
          <w:sz w:val="20"/>
          <w:szCs w:val="20"/>
        </w:rPr>
        <w:t>2. In terms of paragraphs 4(b)(</w:t>
      </w:r>
      <w:proofErr w:type="spellStart"/>
      <w:r>
        <w:rPr>
          <w:rFonts w:ascii="Arial" w:hAnsi="Arial" w:cs="Arial"/>
          <w:color w:val="000000"/>
          <w:sz w:val="20"/>
          <w:szCs w:val="20"/>
        </w:rPr>
        <w:t>i</w:t>
      </w:r>
      <w:proofErr w:type="spellEnd"/>
      <w:r>
        <w:rPr>
          <w:rFonts w:ascii="Arial" w:hAnsi="Arial" w:cs="Arial"/>
          <w:color w:val="000000"/>
          <w:sz w:val="20"/>
          <w:szCs w:val="20"/>
        </w:rPr>
        <w:t>) and 4(b)(ii) of the Directions, short-term investments by an FPI in government securities (Central Government securities, including Treasury Bills and State Development Loans) and corporate bonds shall not exceed 30% of the total investment of that FPI in any category. It has been decided that investments by FPIs in government securities and corporate bonds made between July 08, 2022 and October 31, 2022 (both dates included) shall be exempted from the limit on short-term investments till maturity or sale of such investments.</w:t>
      </w:r>
    </w:p>
    <w:p w:rsidR="002C55B6" w:rsidRDefault="002C55B6" w:rsidP="002C55B6">
      <w:pPr>
        <w:pStyle w:val="NormalWeb"/>
        <w:jc w:val="both"/>
        <w:rPr>
          <w:rFonts w:ascii="Arial" w:hAnsi="Arial" w:cs="Arial"/>
          <w:color w:val="000000"/>
          <w:sz w:val="20"/>
          <w:szCs w:val="20"/>
        </w:rPr>
      </w:pPr>
      <w:r>
        <w:rPr>
          <w:rFonts w:ascii="Arial" w:hAnsi="Arial" w:cs="Arial"/>
          <w:color w:val="000000"/>
          <w:sz w:val="20"/>
          <w:szCs w:val="20"/>
        </w:rPr>
        <w:t>3. In terms of paragraph 4(b)(ii) of the Directions, FPI investments in corporate bonds were subject to a minimum residual maturity requirement of one year. It has been decided to allow FPIs to invest in commercial papers and non-convertible debentures with an original maturity of up to one year, during the period between July 08, 2022 and October 31, 2022 (both dates included). These investments shall be exempted from the limit on short-term investments till maturity or sale of such investments.</w:t>
      </w:r>
    </w:p>
    <w:p w:rsidR="002C55B6" w:rsidRDefault="002C55B6" w:rsidP="002C55B6">
      <w:pPr>
        <w:pStyle w:val="NormalWeb"/>
        <w:jc w:val="both"/>
        <w:rPr>
          <w:rFonts w:ascii="Arial" w:hAnsi="Arial" w:cs="Arial"/>
          <w:color w:val="000000"/>
          <w:sz w:val="20"/>
          <w:szCs w:val="20"/>
        </w:rPr>
      </w:pPr>
      <w:r>
        <w:rPr>
          <w:rFonts w:ascii="Arial" w:hAnsi="Arial" w:cs="Arial"/>
          <w:color w:val="000000"/>
          <w:sz w:val="20"/>
          <w:szCs w:val="20"/>
        </w:rPr>
        <w:t xml:space="preserve">4. AD Category – I </w:t>
      </w:r>
      <w:proofErr w:type="gramStart"/>
      <w:r>
        <w:rPr>
          <w:rFonts w:ascii="Arial" w:hAnsi="Arial" w:cs="Arial"/>
          <w:color w:val="000000"/>
          <w:sz w:val="20"/>
          <w:szCs w:val="20"/>
        </w:rPr>
        <w:t>banks</w:t>
      </w:r>
      <w:proofErr w:type="gramEnd"/>
      <w:r>
        <w:rPr>
          <w:rFonts w:ascii="Arial" w:hAnsi="Arial" w:cs="Arial"/>
          <w:color w:val="000000"/>
          <w:sz w:val="20"/>
          <w:szCs w:val="20"/>
        </w:rPr>
        <w:t xml:space="preserve"> may bring the contents of this circular to the notice of their constituents and customers concerned.</w:t>
      </w:r>
    </w:p>
    <w:p w:rsidR="002C55B6" w:rsidRDefault="002C55B6" w:rsidP="002C55B6">
      <w:pPr>
        <w:pStyle w:val="NormalWeb"/>
        <w:jc w:val="both"/>
        <w:rPr>
          <w:rFonts w:ascii="Arial" w:hAnsi="Arial" w:cs="Arial"/>
          <w:color w:val="000000"/>
          <w:sz w:val="20"/>
          <w:szCs w:val="20"/>
        </w:rPr>
      </w:pPr>
      <w:r>
        <w:rPr>
          <w:rFonts w:ascii="Arial" w:hAnsi="Arial" w:cs="Arial"/>
          <w:color w:val="000000"/>
          <w:sz w:val="20"/>
          <w:szCs w:val="20"/>
        </w:rPr>
        <w:t>5. The Directions contained in this circular have been issued under sections 10(4) and 11(1) of the Foreign Exchange Management Act, 1999 (42 of 1999) and are without prejudice to permissions/approval, if any, required under any other law.</w:t>
      </w:r>
    </w:p>
    <w:p w:rsidR="00BF2165" w:rsidRPr="002C55B6" w:rsidRDefault="002C55B6" w:rsidP="002C55B6">
      <w:pPr>
        <w:pStyle w:val="NormalWeb"/>
        <w:jc w:val="both"/>
        <w:rPr>
          <w:rFonts w:ascii="Arial" w:hAnsi="Arial" w:cs="Arial"/>
          <w:color w:val="000000"/>
          <w:sz w:val="20"/>
          <w:szCs w:val="20"/>
        </w:rPr>
      </w:pPr>
      <w:r>
        <w:rPr>
          <w:rFonts w:ascii="Arial" w:hAnsi="Arial" w:cs="Arial"/>
          <w:color w:val="000000"/>
          <w:sz w:val="20"/>
          <w:szCs w:val="20"/>
        </w:rPr>
        <w:t>6. These Directions shall be applicable with immediate effect.</w:t>
      </w:r>
    </w:p>
    <w:p w:rsidR="00047CD5" w:rsidRPr="00FB49BF" w:rsidRDefault="00047CD5" w:rsidP="00FB49BF">
      <w:pPr>
        <w:spacing w:after="0"/>
        <w:rPr>
          <w:rFonts w:ascii="Arial" w:hAnsi="Arial" w:cs="Arial"/>
          <w:sz w:val="20"/>
          <w:szCs w:val="20"/>
        </w:rPr>
      </w:pPr>
      <w:r w:rsidRPr="00FB49BF">
        <w:rPr>
          <w:rFonts w:ascii="Arial" w:hAnsi="Arial" w:cs="Arial"/>
          <w:sz w:val="20"/>
          <w:szCs w:val="20"/>
        </w:rPr>
        <w:t>Yours faithfully,</w:t>
      </w:r>
    </w:p>
    <w:p w:rsidR="00047CD5" w:rsidRPr="00FB49BF" w:rsidRDefault="00047CD5" w:rsidP="00FB49BF">
      <w:pPr>
        <w:spacing w:after="0"/>
        <w:rPr>
          <w:rFonts w:ascii="Arial" w:hAnsi="Arial" w:cs="Arial"/>
          <w:sz w:val="20"/>
          <w:szCs w:val="20"/>
        </w:rPr>
      </w:pPr>
      <w:r w:rsidRPr="00FB49BF">
        <w:rPr>
          <w:rFonts w:ascii="Arial" w:hAnsi="Arial" w:cs="Arial"/>
          <w:sz w:val="20"/>
          <w:szCs w:val="20"/>
        </w:rPr>
        <w:t xml:space="preserve">(Dimple </w:t>
      </w:r>
      <w:proofErr w:type="spellStart"/>
      <w:r w:rsidRPr="00FB49BF">
        <w:rPr>
          <w:rFonts w:ascii="Arial" w:hAnsi="Arial" w:cs="Arial"/>
          <w:sz w:val="20"/>
          <w:szCs w:val="20"/>
        </w:rPr>
        <w:t>Bhandia</w:t>
      </w:r>
      <w:proofErr w:type="spellEnd"/>
      <w:r w:rsidRPr="00FB49BF">
        <w:rPr>
          <w:rFonts w:ascii="Arial" w:hAnsi="Arial" w:cs="Arial"/>
          <w:sz w:val="20"/>
          <w:szCs w:val="20"/>
        </w:rPr>
        <w:t>)</w:t>
      </w:r>
    </w:p>
    <w:p w:rsidR="00047CD5" w:rsidRPr="00FB49BF" w:rsidRDefault="00047CD5" w:rsidP="00FB49BF">
      <w:pPr>
        <w:spacing w:after="0"/>
        <w:rPr>
          <w:rFonts w:ascii="Arial" w:hAnsi="Arial" w:cs="Arial"/>
          <w:sz w:val="20"/>
          <w:szCs w:val="20"/>
        </w:rPr>
      </w:pPr>
      <w:r w:rsidRPr="00FB49BF">
        <w:rPr>
          <w:rFonts w:ascii="Arial" w:hAnsi="Arial" w:cs="Arial"/>
          <w:sz w:val="20"/>
          <w:szCs w:val="20"/>
        </w:rPr>
        <w:t>Chief General Manager</w:t>
      </w:r>
    </w:p>
    <w:p w:rsidR="00047CD5" w:rsidRDefault="00047CD5" w:rsidP="00BF2165"/>
    <w:p w:rsidR="00BF2165" w:rsidRDefault="00BF2165" w:rsidP="00BF2165">
      <w:r>
        <w:t>More details can be referred to in the below link.</w:t>
      </w:r>
    </w:p>
    <w:p w:rsidR="00BF2165" w:rsidRDefault="00BF2165" w:rsidP="00BF2165">
      <w:pPr>
        <w:spacing w:after="0"/>
        <w:jc w:val="both"/>
        <w:rPr>
          <w:rFonts w:ascii="Arial" w:hAnsi="Arial" w:cs="Arial"/>
          <w:bCs/>
          <w:color w:val="000000"/>
          <w:sz w:val="20"/>
          <w:szCs w:val="20"/>
        </w:rPr>
      </w:pPr>
      <w:r>
        <w:rPr>
          <w:rFonts w:ascii="Arial" w:hAnsi="Arial" w:cs="Arial"/>
          <w:bCs/>
          <w:color w:val="000000"/>
          <w:sz w:val="20"/>
          <w:szCs w:val="20"/>
        </w:rPr>
        <w:t>Reference Link</w:t>
      </w:r>
      <w:r w:rsidR="004D6B44">
        <w:rPr>
          <w:rFonts w:ascii="Arial" w:hAnsi="Arial" w:cs="Arial"/>
          <w:bCs/>
          <w:color w:val="000000"/>
          <w:sz w:val="20"/>
          <w:szCs w:val="20"/>
        </w:rPr>
        <w:t xml:space="preserve"> </w:t>
      </w:r>
      <w:hyperlink r:id="rId9" w:history="1">
        <w:r w:rsidR="004D6B44" w:rsidRPr="00200311">
          <w:rPr>
            <w:rStyle w:val="Hyperlink"/>
            <w:rFonts w:ascii="Arial" w:hAnsi="Arial" w:cs="Arial"/>
            <w:bCs/>
            <w:sz w:val="20"/>
            <w:szCs w:val="20"/>
          </w:rPr>
          <w:t>https://rbi.org.in/scripts/FS_Notification.aspx?Id=12355&amp;fn=6&amp;Mode=0</w:t>
        </w:r>
      </w:hyperlink>
    </w:p>
    <w:p w:rsidR="004D6B44" w:rsidRDefault="004D6B44" w:rsidP="00BF2165">
      <w:pPr>
        <w:spacing w:after="0"/>
        <w:jc w:val="both"/>
        <w:rPr>
          <w:rFonts w:ascii="Arial" w:hAnsi="Arial" w:cs="Arial"/>
          <w:bCs/>
          <w:color w:val="000000"/>
          <w:sz w:val="20"/>
          <w:szCs w:val="20"/>
        </w:rPr>
      </w:pPr>
    </w:p>
    <w:p w:rsidR="00BF2165" w:rsidRDefault="00BF2165" w:rsidP="00BF2165">
      <w:pPr>
        <w:spacing w:after="0"/>
        <w:jc w:val="both"/>
        <w:rPr>
          <w:rFonts w:ascii="Arial" w:hAnsi="Arial" w:cs="Arial"/>
          <w:bCs/>
          <w:color w:val="000000"/>
          <w:sz w:val="20"/>
          <w:szCs w:val="20"/>
        </w:rPr>
      </w:pPr>
    </w:p>
    <w:p w:rsidR="00BF2165" w:rsidRDefault="00BF2165" w:rsidP="00BF2165">
      <w:pPr>
        <w:spacing w:after="0"/>
        <w:jc w:val="both"/>
        <w:rPr>
          <w:rFonts w:ascii="Arial" w:hAnsi="Arial" w:cs="Arial"/>
          <w:b/>
          <w:bCs/>
          <w:color w:val="000000"/>
          <w:sz w:val="20"/>
          <w:szCs w:val="20"/>
        </w:rPr>
      </w:pPr>
    </w:p>
    <w:p w:rsidR="00BF2165" w:rsidRDefault="00BF2165" w:rsidP="00BF2165">
      <w:pPr>
        <w:spacing w:after="0"/>
        <w:jc w:val="both"/>
        <w:rPr>
          <w:rFonts w:ascii="Arial" w:hAnsi="Arial" w:cs="Arial"/>
          <w:b/>
          <w:bCs/>
          <w:color w:val="000000"/>
          <w:sz w:val="20"/>
          <w:szCs w:val="20"/>
        </w:rPr>
      </w:pPr>
    </w:p>
    <w:p w:rsidR="00BF2165" w:rsidRDefault="004D6B44" w:rsidP="00BF2165">
      <w:pPr>
        <w:spacing w:after="0"/>
        <w:jc w:val="both"/>
        <w:rPr>
          <w:rFonts w:ascii="Arial" w:hAnsi="Arial" w:cs="Arial"/>
          <w:b/>
          <w:bCs/>
          <w:color w:val="000000"/>
          <w:sz w:val="20"/>
          <w:szCs w:val="20"/>
        </w:rPr>
      </w:pPr>
      <w:r>
        <w:rPr>
          <w:rFonts w:ascii="Arial" w:hAnsi="Arial" w:cs="Arial"/>
          <w:b/>
          <w:bCs/>
          <w:color w:val="000000"/>
          <w:sz w:val="20"/>
          <w:szCs w:val="20"/>
        </w:rPr>
        <w:t>Overseas foreign currency borrowings of Authorised Dealer Category-I banks</w:t>
      </w:r>
    </w:p>
    <w:p w:rsidR="004D6B44" w:rsidRDefault="004D6B44" w:rsidP="00BF2165">
      <w:pPr>
        <w:spacing w:after="0"/>
        <w:jc w:val="both"/>
        <w:rPr>
          <w:rFonts w:ascii="Arial" w:hAnsi="Arial" w:cs="Arial"/>
          <w:b/>
          <w:bCs/>
          <w:color w:val="000000"/>
          <w:sz w:val="20"/>
          <w:szCs w:val="20"/>
        </w:rPr>
      </w:pPr>
    </w:p>
    <w:p w:rsidR="004D6B44" w:rsidRDefault="004D6B44" w:rsidP="002A3764">
      <w:pPr>
        <w:pStyle w:val="NormalWeb"/>
        <w:jc w:val="both"/>
        <w:rPr>
          <w:rFonts w:ascii="Arial" w:hAnsi="Arial" w:cs="Arial"/>
          <w:color w:val="000000"/>
          <w:sz w:val="20"/>
          <w:szCs w:val="20"/>
        </w:rPr>
      </w:pPr>
      <w:r>
        <w:rPr>
          <w:rFonts w:ascii="Arial" w:hAnsi="Arial" w:cs="Arial"/>
          <w:color w:val="000000"/>
          <w:sz w:val="20"/>
          <w:szCs w:val="20"/>
        </w:rPr>
        <w:t>RBI/2022-23/88</w:t>
      </w:r>
      <w:r>
        <w:rPr>
          <w:rFonts w:ascii="Arial" w:hAnsi="Arial" w:cs="Arial"/>
          <w:color w:val="000000"/>
          <w:sz w:val="20"/>
          <w:szCs w:val="20"/>
        </w:rPr>
        <w:br/>
        <w:t>A. P. (DIR Series) Circular No. 08</w:t>
      </w:r>
    </w:p>
    <w:p w:rsidR="004D6B44" w:rsidRDefault="004D6B44" w:rsidP="004D6B44">
      <w:pPr>
        <w:pStyle w:val="NormalWeb"/>
        <w:jc w:val="right"/>
        <w:rPr>
          <w:rFonts w:ascii="Arial" w:hAnsi="Arial" w:cs="Arial"/>
          <w:color w:val="000000"/>
          <w:sz w:val="20"/>
          <w:szCs w:val="20"/>
        </w:rPr>
      </w:pPr>
      <w:r>
        <w:rPr>
          <w:rFonts w:ascii="Arial" w:hAnsi="Arial" w:cs="Arial"/>
          <w:color w:val="000000"/>
          <w:sz w:val="20"/>
          <w:szCs w:val="20"/>
        </w:rPr>
        <w:t>July 07, 2022</w:t>
      </w:r>
    </w:p>
    <w:p w:rsidR="004D6B44" w:rsidRDefault="004D6B44" w:rsidP="004D6B44">
      <w:pPr>
        <w:pStyle w:val="NormalWeb"/>
        <w:jc w:val="both"/>
        <w:rPr>
          <w:rFonts w:ascii="Arial" w:hAnsi="Arial" w:cs="Arial"/>
          <w:color w:val="000000"/>
          <w:sz w:val="20"/>
          <w:szCs w:val="20"/>
        </w:rPr>
      </w:pPr>
      <w:r>
        <w:rPr>
          <w:rFonts w:ascii="Arial" w:hAnsi="Arial" w:cs="Arial"/>
          <w:color w:val="000000"/>
          <w:sz w:val="20"/>
          <w:szCs w:val="20"/>
        </w:rPr>
        <w:t>All Authorised Dealer Category-I Banks</w:t>
      </w:r>
    </w:p>
    <w:p w:rsidR="004D6B44" w:rsidRDefault="004D6B44" w:rsidP="004D6B44">
      <w:pPr>
        <w:pStyle w:val="NormalWeb"/>
        <w:jc w:val="both"/>
        <w:rPr>
          <w:rFonts w:ascii="Arial" w:hAnsi="Arial" w:cs="Arial"/>
          <w:color w:val="000000"/>
          <w:sz w:val="20"/>
          <w:szCs w:val="20"/>
        </w:rPr>
      </w:pPr>
      <w:r>
        <w:rPr>
          <w:rFonts w:ascii="Arial" w:hAnsi="Arial" w:cs="Arial"/>
          <w:color w:val="000000"/>
          <w:sz w:val="20"/>
          <w:szCs w:val="20"/>
        </w:rPr>
        <w:t>Madam/Sir,</w:t>
      </w:r>
    </w:p>
    <w:p w:rsidR="004D6B44" w:rsidRDefault="004D6B44" w:rsidP="004D6B44">
      <w:pPr>
        <w:pStyle w:val="head"/>
        <w:jc w:val="both"/>
        <w:rPr>
          <w:rFonts w:ascii="Arial" w:hAnsi="Arial" w:cs="Arial"/>
          <w:b/>
          <w:bCs/>
          <w:color w:val="000000"/>
          <w:sz w:val="20"/>
          <w:szCs w:val="20"/>
        </w:rPr>
      </w:pPr>
      <w:r>
        <w:rPr>
          <w:rFonts w:ascii="Arial" w:hAnsi="Arial" w:cs="Arial"/>
          <w:b/>
          <w:bCs/>
          <w:color w:val="000000"/>
          <w:sz w:val="20"/>
          <w:szCs w:val="20"/>
        </w:rPr>
        <w:t>Overseas foreign currency borrowings of Authorised Dealer Category-I banks</w:t>
      </w:r>
    </w:p>
    <w:p w:rsidR="004D6B44" w:rsidRDefault="004D6B44" w:rsidP="004D6B44">
      <w:pPr>
        <w:pStyle w:val="NormalWeb"/>
        <w:jc w:val="both"/>
        <w:rPr>
          <w:rFonts w:ascii="Arial" w:hAnsi="Arial" w:cs="Arial"/>
          <w:color w:val="000000"/>
          <w:sz w:val="20"/>
          <w:szCs w:val="20"/>
        </w:rPr>
      </w:pPr>
      <w:r>
        <w:rPr>
          <w:rFonts w:ascii="Arial" w:hAnsi="Arial" w:cs="Arial"/>
          <w:color w:val="000000"/>
          <w:sz w:val="20"/>
          <w:szCs w:val="20"/>
        </w:rPr>
        <w:t>Attention of Authorised Dealer Category-I (AD Cat-I) banks is invited to the Foreign Exchange Management (Borrowing and Lending) Regulations, 2018 [</w:t>
      </w:r>
      <w:hyperlink r:id="rId10" w:tgtFrame="_blank" w:history="1">
        <w:r>
          <w:rPr>
            <w:rStyle w:val="Hyperlink"/>
            <w:rFonts w:ascii="Arial" w:hAnsi="Arial" w:cs="Arial"/>
            <w:sz w:val="20"/>
            <w:szCs w:val="20"/>
          </w:rPr>
          <w:t>Notification no. FEMA 3(R)/2018-RB dated December 17, 2018</w:t>
        </w:r>
      </w:hyperlink>
      <w:r>
        <w:rPr>
          <w:rFonts w:ascii="Arial" w:hAnsi="Arial" w:cs="Arial"/>
          <w:color w:val="000000"/>
          <w:sz w:val="20"/>
          <w:szCs w:val="20"/>
        </w:rPr>
        <w:t>] and </w:t>
      </w:r>
      <w:hyperlink r:id="rId11" w:tgtFrame="_blank" w:history="1">
        <w:r>
          <w:rPr>
            <w:rStyle w:val="Hyperlink"/>
            <w:rFonts w:ascii="Arial" w:hAnsi="Arial" w:cs="Arial"/>
            <w:sz w:val="20"/>
            <w:szCs w:val="20"/>
          </w:rPr>
          <w:t>Master Direction - Risk Management and Inter-Bank Dealings dated July 05, 2016</w:t>
        </w:r>
      </w:hyperlink>
      <w:r>
        <w:rPr>
          <w:rFonts w:ascii="Arial" w:hAnsi="Arial" w:cs="Arial"/>
          <w:color w:val="000000"/>
          <w:sz w:val="20"/>
          <w:szCs w:val="20"/>
        </w:rPr>
        <w:t>, as amended from time to time.</w:t>
      </w:r>
    </w:p>
    <w:p w:rsidR="004D6B44" w:rsidRDefault="004D6B44" w:rsidP="004D6B44">
      <w:pPr>
        <w:pStyle w:val="NormalWeb"/>
        <w:jc w:val="both"/>
        <w:rPr>
          <w:rFonts w:ascii="Arial" w:hAnsi="Arial" w:cs="Arial"/>
          <w:color w:val="000000"/>
          <w:sz w:val="20"/>
          <w:szCs w:val="20"/>
        </w:rPr>
      </w:pPr>
      <w:r>
        <w:rPr>
          <w:rFonts w:ascii="Arial" w:hAnsi="Arial" w:cs="Arial"/>
          <w:color w:val="000000"/>
          <w:sz w:val="20"/>
          <w:szCs w:val="20"/>
        </w:rPr>
        <w:t>2. As announced in paragraph 4 of the </w:t>
      </w:r>
      <w:hyperlink r:id="rId12" w:tgtFrame="_blank" w:history="1">
        <w:r>
          <w:rPr>
            <w:rStyle w:val="Hyperlink"/>
            <w:rFonts w:ascii="Arial" w:hAnsi="Arial" w:cs="Arial"/>
            <w:sz w:val="20"/>
            <w:szCs w:val="20"/>
          </w:rPr>
          <w:t>press release on “Liberalisation of Forex Flows” dated July 06, 2022</w:t>
        </w:r>
      </w:hyperlink>
      <w:r>
        <w:rPr>
          <w:rFonts w:ascii="Arial" w:hAnsi="Arial" w:cs="Arial"/>
          <w:color w:val="000000"/>
          <w:sz w:val="20"/>
          <w:szCs w:val="20"/>
        </w:rPr>
        <w:t>, AD Cat-I banks can utilise the funds raised from overseas foreign currency borrowings between July 08, 2022 and October 31, 2022 (both dates included) in terms of paragraph Part-C(5)(a) of the </w:t>
      </w:r>
      <w:hyperlink r:id="rId13" w:tgtFrame="_blank" w:history="1">
        <w:r>
          <w:rPr>
            <w:rStyle w:val="Hyperlink"/>
            <w:rFonts w:ascii="Arial" w:hAnsi="Arial" w:cs="Arial"/>
            <w:sz w:val="20"/>
            <w:szCs w:val="20"/>
          </w:rPr>
          <w:t>Master Direction - Risk Management and Inter-Bank Dealings dated July 05, 2016</w:t>
        </w:r>
      </w:hyperlink>
      <w:r>
        <w:rPr>
          <w:rFonts w:ascii="Arial" w:hAnsi="Arial" w:cs="Arial"/>
          <w:color w:val="000000"/>
          <w:sz w:val="20"/>
          <w:szCs w:val="20"/>
        </w:rPr>
        <w:t>, as amended from time to time, for lending in foreign currency to constituents in India. Such lending shall be subject to the end-use prescriptions as applicable to External Commercial Borrowings (ECBs) in terms of paragraph 2.1(viii) of the </w:t>
      </w:r>
      <w:hyperlink r:id="rId14" w:tgtFrame="_blank" w:history="1">
        <w:r>
          <w:rPr>
            <w:rStyle w:val="Hyperlink"/>
            <w:rFonts w:ascii="Arial" w:hAnsi="Arial" w:cs="Arial"/>
            <w:sz w:val="20"/>
            <w:szCs w:val="20"/>
          </w:rPr>
          <w:t>Master Direction - External Commercial Borrowings, Trade Credits and Structured Obligations dated March 26, 2019</w:t>
        </w:r>
      </w:hyperlink>
      <w:r>
        <w:rPr>
          <w:rFonts w:ascii="Arial" w:hAnsi="Arial" w:cs="Arial"/>
          <w:color w:val="000000"/>
          <w:sz w:val="20"/>
          <w:szCs w:val="20"/>
        </w:rPr>
        <w:t>, as amended from time to time. This facility will be available till the maturity / repayment of the overseas foreign currency borrowings.</w:t>
      </w:r>
    </w:p>
    <w:p w:rsidR="004D6B44" w:rsidRDefault="004D6B44" w:rsidP="004D6B44">
      <w:pPr>
        <w:pStyle w:val="NormalWeb"/>
        <w:jc w:val="both"/>
        <w:rPr>
          <w:rFonts w:ascii="Arial" w:hAnsi="Arial" w:cs="Arial"/>
          <w:color w:val="000000"/>
          <w:sz w:val="20"/>
          <w:szCs w:val="20"/>
        </w:rPr>
      </w:pPr>
      <w:r>
        <w:rPr>
          <w:rFonts w:ascii="Arial" w:hAnsi="Arial" w:cs="Arial"/>
          <w:color w:val="000000"/>
          <w:sz w:val="20"/>
          <w:szCs w:val="20"/>
        </w:rPr>
        <w:t>3. The directions contained in this circular have been issued under Sections 10(4) and 11(1) of the Foreign Exchange Management Act, 1999 (42 of 1999) and are without prejudice to permissions / approvals, if any, required under any other law.</w:t>
      </w:r>
    </w:p>
    <w:p w:rsidR="004D6B44" w:rsidRDefault="004D6B44" w:rsidP="009126BF">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Yours faithfully,</w:t>
      </w:r>
    </w:p>
    <w:p w:rsidR="00BF2165" w:rsidRPr="001B0D06" w:rsidRDefault="004D6B44" w:rsidP="009126BF">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rsidR="009126BF" w:rsidRDefault="009126BF" w:rsidP="001B0D06"/>
    <w:p w:rsidR="000F6CB6" w:rsidRDefault="000F6CB6" w:rsidP="001B0D06"/>
    <w:p w:rsidR="001B0D06" w:rsidRDefault="001B0D06" w:rsidP="001B0D06">
      <w:r>
        <w:t>More details can be referred to in the below link.</w:t>
      </w:r>
    </w:p>
    <w:p w:rsidR="00BF2165" w:rsidRDefault="00BF2165" w:rsidP="00BF2165">
      <w:pPr>
        <w:spacing w:after="0"/>
        <w:jc w:val="both"/>
        <w:rPr>
          <w:rFonts w:ascii="Arial" w:hAnsi="Arial" w:cs="Arial"/>
          <w:sz w:val="20"/>
          <w:szCs w:val="20"/>
        </w:rPr>
      </w:pPr>
    </w:p>
    <w:p w:rsidR="00BF2165" w:rsidRDefault="00BF2165" w:rsidP="00BF2165">
      <w:pPr>
        <w:spacing w:after="0"/>
        <w:jc w:val="both"/>
        <w:rPr>
          <w:rFonts w:ascii="Arial" w:hAnsi="Arial" w:cs="Arial"/>
          <w:sz w:val="20"/>
          <w:szCs w:val="20"/>
        </w:rPr>
      </w:pPr>
      <w:r>
        <w:rPr>
          <w:rFonts w:ascii="Arial" w:hAnsi="Arial" w:cs="Arial"/>
          <w:sz w:val="20"/>
          <w:szCs w:val="20"/>
        </w:rPr>
        <w:t>Reference Link:</w:t>
      </w:r>
      <w:r w:rsidR="00121B22" w:rsidRPr="00121B22">
        <w:t xml:space="preserve"> </w:t>
      </w:r>
      <w:hyperlink r:id="rId15" w:history="1">
        <w:r w:rsidR="00121B22" w:rsidRPr="00200311">
          <w:rPr>
            <w:rStyle w:val="Hyperlink"/>
            <w:rFonts w:ascii="Arial" w:hAnsi="Arial" w:cs="Arial"/>
            <w:sz w:val="20"/>
            <w:szCs w:val="20"/>
          </w:rPr>
          <w:t>https://www.rbi.org.in/scripts/NotificationUser.aspx?Id=12356&amp;Mode=0</w:t>
        </w:r>
      </w:hyperlink>
    </w:p>
    <w:p w:rsidR="00121B22" w:rsidRDefault="00121B22" w:rsidP="00BF2165">
      <w:pPr>
        <w:spacing w:after="0"/>
        <w:jc w:val="both"/>
        <w:rPr>
          <w:rFonts w:ascii="Arial" w:hAnsi="Arial" w:cs="Arial"/>
          <w:sz w:val="20"/>
          <w:szCs w:val="20"/>
        </w:rPr>
      </w:pPr>
    </w:p>
    <w:p w:rsidR="00583041" w:rsidRDefault="00583041" w:rsidP="00BF2165">
      <w:pPr>
        <w:spacing w:after="0"/>
        <w:jc w:val="both"/>
        <w:rPr>
          <w:rFonts w:ascii="Arial" w:hAnsi="Arial" w:cs="Arial"/>
          <w:sz w:val="20"/>
          <w:szCs w:val="20"/>
        </w:rPr>
      </w:pPr>
    </w:p>
    <w:p w:rsidR="00BF2165" w:rsidRDefault="00BF2165" w:rsidP="00BF2165">
      <w:pPr>
        <w:spacing w:after="0"/>
        <w:jc w:val="both"/>
        <w:rPr>
          <w:rFonts w:ascii="Arial" w:hAnsi="Arial" w:cs="Arial"/>
          <w:sz w:val="20"/>
          <w:szCs w:val="20"/>
        </w:rPr>
      </w:pPr>
    </w:p>
    <w:p w:rsidR="00BF2165" w:rsidRDefault="00BF2165" w:rsidP="00BF2165">
      <w:pPr>
        <w:spacing w:after="0"/>
        <w:jc w:val="both"/>
        <w:rPr>
          <w:rFonts w:ascii="Arial" w:hAnsi="Arial" w:cs="Arial"/>
          <w:sz w:val="20"/>
          <w:szCs w:val="20"/>
        </w:rPr>
      </w:pPr>
    </w:p>
    <w:p w:rsidR="00BF2165" w:rsidRDefault="00BF2165" w:rsidP="00BF2165">
      <w:pPr>
        <w:rPr>
          <w:rFonts w:ascii="Arial" w:hAnsi="Arial" w:cs="Arial"/>
          <w:b/>
          <w:bCs/>
          <w:color w:val="000000"/>
          <w:sz w:val="20"/>
          <w:szCs w:val="20"/>
        </w:rPr>
      </w:pPr>
      <w:r>
        <w:br w:type="page"/>
      </w:r>
      <w:r w:rsidR="001E7AD4">
        <w:rPr>
          <w:rFonts w:ascii="Arial" w:hAnsi="Arial" w:cs="Arial"/>
          <w:b/>
          <w:bCs/>
          <w:color w:val="000000"/>
          <w:sz w:val="20"/>
          <w:szCs w:val="20"/>
        </w:rPr>
        <w:lastRenderedPageBreak/>
        <w:t>International Trade Settlement in Indian Rupees (INR)</w:t>
      </w:r>
    </w:p>
    <w:p w:rsidR="001E7AD4" w:rsidRPr="001E7AD4" w:rsidRDefault="001E7AD4" w:rsidP="002A3764">
      <w:pPr>
        <w:spacing w:before="100" w:beforeAutospacing="1" w:after="100" w:afterAutospacing="1" w:line="240" w:lineRule="auto"/>
        <w:jc w:val="both"/>
        <w:rPr>
          <w:rFonts w:ascii="Arial" w:eastAsia="Times New Roman" w:hAnsi="Arial" w:cs="Arial"/>
          <w:color w:val="000000"/>
          <w:sz w:val="20"/>
          <w:szCs w:val="20"/>
          <w:lang w:eastAsia="en-IN"/>
        </w:rPr>
      </w:pPr>
      <w:r w:rsidRPr="001E7AD4">
        <w:rPr>
          <w:rFonts w:ascii="Arial" w:eastAsia="Times New Roman" w:hAnsi="Arial" w:cs="Arial"/>
          <w:color w:val="000000"/>
          <w:sz w:val="20"/>
          <w:szCs w:val="20"/>
          <w:lang w:eastAsia="en-IN"/>
        </w:rPr>
        <w:t>RBI/2022-2023/90</w:t>
      </w:r>
      <w:r w:rsidRPr="001E7AD4">
        <w:rPr>
          <w:rFonts w:ascii="Arial" w:eastAsia="Times New Roman" w:hAnsi="Arial" w:cs="Arial"/>
          <w:color w:val="000000"/>
          <w:sz w:val="20"/>
          <w:szCs w:val="20"/>
          <w:lang w:eastAsia="en-IN"/>
        </w:rPr>
        <w:br/>
        <w:t>A.P. (DIR Series) Circular No.10</w:t>
      </w:r>
    </w:p>
    <w:p w:rsidR="001E7AD4" w:rsidRPr="001E7AD4" w:rsidRDefault="001E7AD4" w:rsidP="001E7AD4">
      <w:pPr>
        <w:spacing w:before="100" w:beforeAutospacing="1" w:after="100" w:afterAutospacing="1" w:line="240" w:lineRule="auto"/>
        <w:jc w:val="right"/>
        <w:rPr>
          <w:rFonts w:ascii="Arial" w:eastAsia="Times New Roman" w:hAnsi="Arial" w:cs="Arial"/>
          <w:color w:val="000000"/>
          <w:sz w:val="20"/>
          <w:szCs w:val="20"/>
          <w:lang w:eastAsia="en-IN"/>
        </w:rPr>
      </w:pPr>
      <w:r w:rsidRPr="001E7AD4">
        <w:rPr>
          <w:rFonts w:ascii="Arial" w:eastAsia="Times New Roman" w:hAnsi="Arial" w:cs="Arial"/>
          <w:color w:val="000000"/>
          <w:sz w:val="20"/>
          <w:szCs w:val="20"/>
          <w:lang w:eastAsia="en-IN"/>
        </w:rPr>
        <w:t>July 11, 2022</w:t>
      </w:r>
    </w:p>
    <w:p w:rsidR="000F6CB6" w:rsidRDefault="001E7AD4" w:rsidP="000F6CB6">
      <w:pPr>
        <w:pStyle w:val="NoSpacing"/>
        <w:rPr>
          <w:lang w:eastAsia="en-IN"/>
        </w:rPr>
      </w:pPr>
      <w:r w:rsidRPr="001E7AD4">
        <w:rPr>
          <w:lang w:eastAsia="en-IN"/>
        </w:rPr>
        <w:t>To</w:t>
      </w:r>
    </w:p>
    <w:p w:rsidR="001E7AD4" w:rsidRPr="001E7AD4" w:rsidRDefault="001E7AD4" w:rsidP="000F6CB6">
      <w:pPr>
        <w:pStyle w:val="NoSpacing"/>
        <w:rPr>
          <w:lang w:eastAsia="en-IN"/>
        </w:rPr>
      </w:pPr>
      <w:r w:rsidRPr="001E7AD4">
        <w:rPr>
          <w:lang w:eastAsia="en-IN"/>
        </w:rPr>
        <w:t>All Category-I Authorised Dealer Banks</w:t>
      </w:r>
    </w:p>
    <w:p w:rsidR="001E7AD4" w:rsidRPr="001E7AD4" w:rsidRDefault="001E7AD4" w:rsidP="000F6CB6">
      <w:pPr>
        <w:pStyle w:val="NoSpacing"/>
        <w:rPr>
          <w:lang w:eastAsia="en-IN"/>
        </w:rPr>
      </w:pPr>
      <w:r w:rsidRPr="001E7AD4">
        <w:rPr>
          <w:lang w:eastAsia="en-IN"/>
        </w:rPr>
        <w:t>Madam/Sir</w:t>
      </w:r>
    </w:p>
    <w:p w:rsidR="001E7AD4" w:rsidRPr="001E7AD4" w:rsidRDefault="001E7AD4" w:rsidP="001E7AD4">
      <w:pPr>
        <w:spacing w:before="100" w:beforeAutospacing="1" w:after="100" w:afterAutospacing="1" w:line="240" w:lineRule="auto"/>
        <w:jc w:val="both"/>
        <w:rPr>
          <w:rFonts w:ascii="Arial" w:eastAsia="Times New Roman" w:hAnsi="Arial" w:cs="Arial"/>
          <w:b/>
          <w:bCs/>
          <w:color w:val="000000"/>
          <w:sz w:val="20"/>
          <w:szCs w:val="20"/>
          <w:lang w:eastAsia="en-IN"/>
        </w:rPr>
      </w:pPr>
      <w:r w:rsidRPr="001E7AD4">
        <w:rPr>
          <w:rFonts w:ascii="Arial" w:eastAsia="Times New Roman" w:hAnsi="Arial" w:cs="Arial"/>
          <w:b/>
          <w:bCs/>
          <w:color w:val="000000"/>
          <w:sz w:val="20"/>
          <w:szCs w:val="20"/>
          <w:u w:val="single"/>
          <w:lang w:eastAsia="en-IN"/>
        </w:rPr>
        <w:t>International Trade Settlement in Indian Rupees (INR)</w:t>
      </w:r>
    </w:p>
    <w:p w:rsidR="001E7AD4" w:rsidRPr="001E7AD4" w:rsidRDefault="001E7AD4" w:rsidP="001E7AD4">
      <w:pPr>
        <w:spacing w:before="100" w:beforeAutospacing="1" w:after="100" w:afterAutospacing="1" w:line="240" w:lineRule="auto"/>
        <w:jc w:val="both"/>
        <w:rPr>
          <w:rFonts w:ascii="Arial" w:eastAsia="Times New Roman" w:hAnsi="Arial" w:cs="Arial"/>
          <w:color w:val="000000"/>
          <w:sz w:val="20"/>
          <w:szCs w:val="20"/>
          <w:lang w:eastAsia="en-IN"/>
        </w:rPr>
      </w:pPr>
      <w:r w:rsidRPr="001E7AD4">
        <w:rPr>
          <w:rFonts w:ascii="Arial" w:eastAsia="Times New Roman" w:hAnsi="Arial" w:cs="Arial"/>
          <w:color w:val="000000"/>
          <w:sz w:val="20"/>
          <w:szCs w:val="20"/>
          <w:lang w:eastAsia="en-IN"/>
        </w:rPr>
        <w:t>In order to promote growth of global trade with emphasis on exports from India and to support the increasing interest of global trading community in INR, it has been decided to put in place an additional arrangement for invoicing, payment, and settlement of exports / imports in INR. Before putting in place this mechanism, AD banks shall require prior approval from the Foreign Exchange Department of Reserve Bank of India, Central Office at Mumbai.</w:t>
      </w:r>
    </w:p>
    <w:p w:rsidR="001E7AD4" w:rsidRPr="001E7AD4" w:rsidRDefault="001E7AD4" w:rsidP="001E7AD4">
      <w:pPr>
        <w:spacing w:before="100" w:beforeAutospacing="1" w:after="100" w:afterAutospacing="1" w:line="240" w:lineRule="auto"/>
        <w:jc w:val="both"/>
        <w:rPr>
          <w:rFonts w:ascii="Arial" w:eastAsia="Times New Roman" w:hAnsi="Arial" w:cs="Arial"/>
          <w:color w:val="000000"/>
          <w:sz w:val="20"/>
          <w:szCs w:val="20"/>
          <w:lang w:eastAsia="en-IN"/>
        </w:rPr>
      </w:pPr>
      <w:r w:rsidRPr="001E7AD4">
        <w:rPr>
          <w:rFonts w:ascii="Arial" w:eastAsia="Times New Roman" w:hAnsi="Arial" w:cs="Arial"/>
          <w:color w:val="000000"/>
          <w:sz w:val="20"/>
          <w:szCs w:val="20"/>
          <w:lang w:eastAsia="en-IN"/>
        </w:rPr>
        <w:t>2. The broad framework for cross border trade transactions in INR under Foreign Exchange Management Act, 1999 (FEMA) is as delineated below:</w:t>
      </w:r>
    </w:p>
    <w:p w:rsidR="001E7AD4" w:rsidRPr="000F6CB6" w:rsidRDefault="001E7AD4" w:rsidP="001E7AD4">
      <w:pPr>
        <w:numPr>
          <w:ilvl w:val="0"/>
          <w:numId w:val="6"/>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0F6CB6">
        <w:rPr>
          <w:rFonts w:ascii="Arial" w:eastAsia="Times New Roman" w:hAnsi="Arial" w:cs="Arial"/>
          <w:bCs/>
          <w:color w:val="000000"/>
          <w:sz w:val="20"/>
          <w:szCs w:val="20"/>
          <w:lang w:eastAsia="en-IN"/>
        </w:rPr>
        <w:t>Invoicing</w:t>
      </w:r>
    </w:p>
    <w:p w:rsidR="001E7AD4" w:rsidRPr="000F6CB6" w:rsidRDefault="001E7AD4" w:rsidP="001E7AD4">
      <w:pPr>
        <w:numPr>
          <w:ilvl w:val="0"/>
          <w:numId w:val="6"/>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0F6CB6">
        <w:rPr>
          <w:rFonts w:ascii="Arial" w:eastAsia="Times New Roman" w:hAnsi="Arial" w:cs="Arial"/>
          <w:bCs/>
          <w:color w:val="000000"/>
          <w:sz w:val="20"/>
          <w:szCs w:val="20"/>
          <w:lang w:eastAsia="en-IN"/>
        </w:rPr>
        <w:t xml:space="preserve"> Exchange Rate</w:t>
      </w:r>
    </w:p>
    <w:p w:rsidR="001E7AD4" w:rsidRDefault="001E7AD4" w:rsidP="001E7AD4">
      <w:pPr>
        <w:numPr>
          <w:ilvl w:val="0"/>
          <w:numId w:val="6"/>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0F6CB6">
        <w:rPr>
          <w:rFonts w:ascii="Arial" w:eastAsia="Times New Roman" w:hAnsi="Arial" w:cs="Arial"/>
          <w:bCs/>
          <w:color w:val="000000"/>
          <w:sz w:val="20"/>
          <w:szCs w:val="20"/>
          <w:lang w:eastAsia="en-IN"/>
        </w:rPr>
        <w:t xml:space="preserve"> Settlement</w:t>
      </w:r>
      <w:r w:rsidRPr="001E7AD4">
        <w:rPr>
          <w:rFonts w:ascii="Arial" w:eastAsia="Times New Roman" w:hAnsi="Arial" w:cs="Arial"/>
          <w:color w:val="000000"/>
          <w:sz w:val="20"/>
          <w:szCs w:val="20"/>
          <w:lang w:eastAsia="en-IN"/>
        </w:rPr>
        <w:t> </w:t>
      </w:r>
    </w:p>
    <w:p w:rsidR="001E7AD4" w:rsidRPr="001E7AD4" w:rsidRDefault="001E7AD4" w:rsidP="001E7AD4">
      <w:pPr>
        <w:spacing w:before="100" w:beforeAutospacing="1" w:after="100" w:afterAutospacing="1" w:line="240" w:lineRule="auto"/>
        <w:jc w:val="both"/>
        <w:rPr>
          <w:rFonts w:ascii="Arial" w:eastAsia="Times New Roman" w:hAnsi="Arial" w:cs="Arial"/>
          <w:color w:val="000000"/>
          <w:sz w:val="20"/>
          <w:szCs w:val="20"/>
          <w:lang w:eastAsia="en-IN"/>
        </w:rPr>
      </w:pPr>
      <w:r w:rsidRPr="001E7AD4">
        <w:rPr>
          <w:rFonts w:ascii="Arial" w:eastAsia="Times New Roman" w:hAnsi="Arial" w:cs="Arial"/>
          <w:color w:val="000000"/>
          <w:sz w:val="20"/>
          <w:szCs w:val="20"/>
          <w:lang w:eastAsia="en-IN"/>
        </w:rPr>
        <w:t xml:space="preserve"> 3. In terms of Regulation 7(1) of Foreign Exchange Management (Deposit) Regulations, 2016, AD banks in India have been permitted to open Rupee Vostro Accounts. Accordingly, for settlement of trade transactions with any country, AD bank in India may open Special Rupee Vostro Accounts of correspondent bank/s of the partner trading country. In order to allow settlement of international trade transactions through this arrangement, it has been decided that:</w:t>
      </w:r>
    </w:p>
    <w:p w:rsidR="001E7AD4" w:rsidRPr="001E7AD4" w:rsidRDefault="001E7AD4" w:rsidP="001E7AD4">
      <w:pPr>
        <w:numPr>
          <w:ilvl w:val="0"/>
          <w:numId w:val="7"/>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1E7AD4">
        <w:rPr>
          <w:rFonts w:ascii="Arial" w:eastAsia="Times New Roman" w:hAnsi="Arial" w:cs="Arial"/>
          <w:color w:val="000000"/>
          <w:sz w:val="20"/>
          <w:szCs w:val="20"/>
          <w:lang w:eastAsia="en-IN"/>
        </w:rPr>
        <w:t>Indian importers undertaking imports through this mechanism shall make payment in INR which shall be credited into the Special Vostro account of the correspondent bank of the partner country, against the invoices for the supply of goods or services from the overseas seller /supplier.</w:t>
      </w:r>
    </w:p>
    <w:p w:rsidR="001E7AD4" w:rsidRPr="001E7AD4" w:rsidRDefault="001E7AD4" w:rsidP="001E7AD4">
      <w:pPr>
        <w:numPr>
          <w:ilvl w:val="0"/>
          <w:numId w:val="7"/>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1E7AD4">
        <w:rPr>
          <w:rFonts w:ascii="Arial" w:eastAsia="Times New Roman" w:hAnsi="Arial" w:cs="Arial"/>
          <w:color w:val="000000"/>
          <w:sz w:val="20"/>
          <w:szCs w:val="20"/>
          <w:lang w:eastAsia="en-IN"/>
        </w:rPr>
        <w:t>Indian exporters, undertaking exports of goods and services through this mechanism, shall be paid the export proceeds in INR from the balances in the designated Special Vostro account of the correspondent bank of the partner country.</w:t>
      </w:r>
    </w:p>
    <w:p w:rsidR="00645D84" w:rsidRPr="001F219E" w:rsidRDefault="001E7AD4" w:rsidP="00645D84">
      <w:pPr>
        <w:spacing w:after="0" w:line="240" w:lineRule="auto"/>
        <w:rPr>
          <w:rFonts w:ascii="Arial" w:eastAsia="Times New Roman" w:hAnsi="Arial" w:cs="Arial"/>
          <w:bCs/>
          <w:color w:val="000000"/>
          <w:sz w:val="20"/>
          <w:szCs w:val="20"/>
          <w:lang w:eastAsia="en-IN"/>
        </w:rPr>
      </w:pPr>
      <w:r w:rsidRPr="001F219E">
        <w:rPr>
          <w:rFonts w:ascii="Arial" w:eastAsia="Times New Roman" w:hAnsi="Arial" w:cs="Arial"/>
          <w:bCs/>
          <w:color w:val="000000"/>
          <w:sz w:val="20"/>
          <w:szCs w:val="20"/>
          <w:lang w:eastAsia="en-IN"/>
        </w:rPr>
        <w:t xml:space="preserve">4. </w:t>
      </w:r>
      <w:r w:rsidR="008462A3" w:rsidRPr="001F219E">
        <w:rPr>
          <w:rFonts w:ascii="Arial" w:eastAsia="Times New Roman" w:hAnsi="Arial" w:cs="Arial"/>
          <w:bCs/>
          <w:color w:val="000000"/>
          <w:sz w:val="20"/>
          <w:szCs w:val="20"/>
          <w:lang w:eastAsia="en-IN"/>
        </w:rPr>
        <w:t xml:space="preserve">   </w:t>
      </w:r>
      <w:r w:rsidRPr="001F219E">
        <w:rPr>
          <w:rFonts w:ascii="Arial" w:eastAsia="Times New Roman" w:hAnsi="Arial" w:cs="Arial"/>
          <w:bCs/>
          <w:color w:val="000000"/>
          <w:sz w:val="20"/>
          <w:szCs w:val="20"/>
          <w:lang w:eastAsia="en-IN"/>
        </w:rPr>
        <w:t>Documentation</w:t>
      </w:r>
    </w:p>
    <w:p w:rsidR="001E7AD4" w:rsidRPr="001F219E" w:rsidRDefault="00645D84" w:rsidP="00645D84">
      <w:pPr>
        <w:spacing w:after="0" w:line="240" w:lineRule="auto"/>
        <w:rPr>
          <w:rFonts w:ascii="Arial" w:eastAsia="Times New Roman" w:hAnsi="Arial" w:cs="Arial"/>
          <w:color w:val="000000"/>
          <w:sz w:val="20"/>
          <w:szCs w:val="20"/>
          <w:lang w:eastAsia="en-IN"/>
        </w:rPr>
      </w:pPr>
      <w:r w:rsidRPr="001F219E">
        <w:rPr>
          <w:rFonts w:ascii="Arial" w:eastAsia="Times New Roman" w:hAnsi="Arial" w:cs="Arial"/>
          <w:bCs/>
          <w:color w:val="000000"/>
          <w:sz w:val="20"/>
          <w:szCs w:val="20"/>
          <w:lang w:eastAsia="en-IN"/>
        </w:rPr>
        <w:t xml:space="preserve">5. </w:t>
      </w:r>
      <w:r w:rsidR="008462A3" w:rsidRPr="001F219E">
        <w:rPr>
          <w:rFonts w:ascii="Arial" w:eastAsia="Times New Roman" w:hAnsi="Arial" w:cs="Arial"/>
          <w:bCs/>
          <w:color w:val="000000"/>
          <w:sz w:val="20"/>
          <w:szCs w:val="20"/>
          <w:lang w:eastAsia="en-IN"/>
        </w:rPr>
        <w:t xml:space="preserve">   </w:t>
      </w:r>
      <w:r w:rsidR="001E7AD4" w:rsidRPr="001F219E">
        <w:rPr>
          <w:rFonts w:ascii="Arial" w:eastAsia="Times New Roman" w:hAnsi="Arial" w:cs="Arial"/>
          <w:bCs/>
          <w:color w:val="000000"/>
          <w:sz w:val="20"/>
          <w:szCs w:val="20"/>
          <w:lang w:eastAsia="en-IN"/>
        </w:rPr>
        <w:t>Advance against exports</w:t>
      </w:r>
    </w:p>
    <w:p w:rsidR="00645D84" w:rsidRPr="001F219E" w:rsidRDefault="001E7AD4" w:rsidP="00645D84">
      <w:pPr>
        <w:spacing w:after="0" w:line="240" w:lineRule="auto"/>
        <w:rPr>
          <w:rFonts w:ascii="Arial" w:eastAsia="Times New Roman" w:hAnsi="Arial" w:cs="Arial"/>
          <w:bCs/>
          <w:color w:val="000000"/>
          <w:sz w:val="20"/>
          <w:szCs w:val="20"/>
          <w:lang w:eastAsia="en-IN"/>
        </w:rPr>
      </w:pPr>
      <w:r w:rsidRPr="001F219E">
        <w:rPr>
          <w:rFonts w:ascii="Arial" w:eastAsia="Times New Roman" w:hAnsi="Arial" w:cs="Arial"/>
          <w:bCs/>
          <w:color w:val="000000"/>
          <w:sz w:val="20"/>
          <w:szCs w:val="20"/>
          <w:lang w:eastAsia="en-IN"/>
        </w:rPr>
        <w:t>6.</w:t>
      </w:r>
      <w:r w:rsidR="008462A3" w:rsidRPr="001F219E">
        <w:rPr>
          <w:rFonts w:ascii="Arial" w:eastAsia="Times New Roman" w:hAnsi="Arial" w:cs="Arial"/>
          <w:bCs/>
          <w:color w:val="000000"/>
          <w:sz w:val="20"/>
          <w:szCs w:val="20"/>
          <w:lang w:eastAsia="en-IN"/>
        </w:rPr>
        <w:t xml:space="preserve"> </w:t>
      </w:r>
      <w:r w:rsidRPr="001F219E">
        <w:rPr>
          <w:rFonts w:ascii="Arial" w:eastAsia="Times New Roman" w:hAnsi="Arial" w:cs="Arial"/>
          <w:bCs/>
          <w:color w:val="000000"/>
          <w:sz w:val="20"/>
          <w:szCs w:val="20"/>
          <w:lang w:eastAsia="en-IN"/>
        </w:rPr>
        <w:t xml:space="preserve"> </w:t>
      </w:r>
      <w:r w:rsidR="008462A3" w:rsidRPr="001F219E">
        <w:rPr>
          <w:rFonts w:ascii="Arial" w:eastAsia="Times New Roman" w:hAnsi="Arial" w:cs="Arial"/>
          <w:bCs/>
          <w:color w:val="000000"/>
          <w:sz w:val="20"/>
          <w:szCs w:val="20"/>
          <w:lang w:eastAsia="en-IN"/>
        </w:rPr>
        <w:t xml:space="preserve">  </w:t>
      </w:r>
      <w:r w:rsidRPr="001F219E">
        <w:rPr>
          <w:rFonts w:ascii="Arial" w:eastAsia="Times New Roman" w:hAnsi="Arial" w:cs="Arial"/>
          <w:bCs/>
          <w:color w:val="000000"/>
          <w:sz w:val="20"/>
          <w:szCs w:val="20"/>
          <w:lang w:eastAsia="en-IN"/>
        </w:rPr>
        <w:t>Setting-off of export receivables</w:t>
      </w:r>
    </w:p>
    <w:p w:rsidR="00645D84" w:rsidRPr="001F219E" w:rsidRDefault="00645D84" w:rsidP="00645D84">
      <w:pPr>
        <w:spacing w:after="0" w:line="240" w:lineRule="auto"/>
        <w:rPr>
          <w:rFonts w:ascii="Arial" w:eastAsia="Times New Roman" w:hAnsi="Arial" w:cs="Arial"/>
          <w:bCs/>
          <w:color w:val="000000"/>
          <w:sz w:val="20"/>
          <w:szCs w:val="20"/>
          <w:lang w:eastAsia="en-IN"/>
        </w:rPr>
      </w:pPr>
      <w:r w:rsidRPr="001F219E">
        <w:rPr>
          <w:rFonts w:ascii="Arial" w:eastAsia="Times New Roman" w:hAnsi="Arial" w:cs="Arial"/>
          <w:bCs/>
          <w:color w:val="000000"/>
          <w:sz w:val="20"/>
          <w:szCs w:val="20"/>
          <w:lang w:eastAsia="en-IN"/>
        </w:rPr>
        <w:t xml:space="preserve">7. </w:t>
      </w:r>
      <w:r w:rsidR="008462A3" w:rsidRPr="001F219E">
        <w:rPr>
          <w:rFonts w:ascii="Arial" w:eastAsia="Times New Roman" w:hAnsi="Arial" w:cs="Arial"/>
          <w:bCs/>
          <w:color w:val="000000"/>
          <w:sz w:val="20"/>
          <w:szCs w:val="20"/>
          <w:lang w:eastAsia="en-IN"/>
        </w:rPr>
        <w:t xml:space="preserve">   </w:t>
      </w:r>
      <w:r w:rsidR="001E7AD4" w:rsidRPr="001F219E">
        <w:rPr>
          <w:rFonts w:ascii="Arial" w:eastAsia="Times New Roman" w:hAnsi="Arial" w:cs="Arial"/>
          <w:bCs/>
          <w:color w:val="000000"/>
          <w:sz w:val="20"/>
          <w:szCs w:val="20"/>
          <w:lang w:eastAsia="en-IN"/>
        </w:rPr>
        <w:t>Bank Guarantee</w:t>
      </w:r>
      <w:r w:rsidR="001E7AD4" w:rsidRPr="001E7AD4">
        <w:rPr>
          <w:rFonts w:ascii="Arial" w:eastAsia="Times New Roman" w:hAnsi="Arial" w:cs="Arial"/>
          <w:color w:val="000000"/>
          <w:sz w:val="20"/>
          <w:szCs w:val="20"/>
          <w:lang w:eastAsia="en-IN"/>
        </w:rPr>
        <w:t> </w:t>
      </w:r>
    </w:p>
    <w:p w:rsidR="001E7AD4" w:rsidRPr="001E7AD4" w:rsidRDefault="00645D84" w:rsidP="00645D84">
      <w:pPr>
        <w:spacing w:after="0" w:line="240" w:lineRule="auto"/>
        <w:rPr>
          <w:rFonts w:ascii="Arial" w:eastAsia="Times New Roman" w:hAnsi="Arial" w:cs="Arial"/>
          <w:bCs/>
          <w:color w:val="000000"/>
          <w:sz w:val="20"/>
          <w:szCs w:val="20"/>
          <w:lang w:eastAsia="en-IN"/>
        </w:rPr>
      </w:pPr>
      <w:r w:rsidRPr="001F219E">
        <w:rPr>
          <w:rFonts w:ascii="Arial" w:eastAsia="Times New Roman" w:hAnsi="Arial" w:cs="Arial"/>
          <w:bCs/>
          <w:color w:val="000000"/>
          <w:sz w:val="20"/>
          <w:szCs w:val="20"/>
          <w:lang w:eastAsia="en-IN"/>
        </w:rPr>
        <w:t xml:space="preserve">8. </w:t>
      </w:r>
      <w:r w:rsidR="008462A3" w:rsidRPr="001F219E">
        <w:rPr>
          <w:rFonts w:ascii="Arial" w:eastAsia="Times New Roman" w:hAnsi="Arial" w:cs="Arial"/>
          <w:bCs/>
          <w:color w:val="000000"/>
          <w:sz w:val="20"/>
          <w:szCs w:val="20"/>
          <w:lang w:eastAsia="en-IN"/>
        </w:rPr>
        <w:t xml:space="preserve">   </w:t>
      </w:r>
      <w:r w:rsidR="001E7AD4" w:rsidRPr="001F219E">
        <w:rPr>
          <w:rFonts w:ascii="Arial" w:eastAsia="Times New Roman" w:hAnsi="Arial" w:cs="Arial"/>
          <w:bCs/>
          <w:color w:val="000000"/>
          <w:sz w:val="20"/>
          <w:szCs w:val="20"/>
          <w:lang w:eastAsia="en-IN"/>
        </w:rPr>
        <w:t>Use of Surplus Balance</w:t>
      </w:r>
    </w:p>
    <w:p w:rsidR="001E7AD4" w:rsidRPr="001E7AD4" w:rsidRDefault="001E7AD4" w:rsidP="00645D84">
      <w:pPr>
        <w:spacing w:after="0" w:line="240" w:lineRule="auto"/>
        <w:rPr>
          <w:rFonts w:ascii="Arial" w:eastAsia="Times New Roman" w:hAnsi="Arial" w:cs="Arial"/>
          <w:color w:val="000000"/>
          <w:sz w:val="20"/>
          <w:szCs w:val="20"/>
          <w:lang w:eastAsia="en-IN"/>
        </w:rPr>
      </w:pPr>
      <w:r w:rsidRPr="001F219E">
        <w:rPr>
          <w:rFonts w:ascii="Arial" w:eastAsia="Times New Roman" w:hAnsi="Arial" w:cs="Arial"/>
          <w:bCs/>
          <w:color w:val="000000"/>
          <w:sz w:val="20"/>
          <w:szCs w:val="20"/>
          <w:lang w:eastAsia="en-IN"/>
        </w:rPr>
        <w:t xml:space="preserve">9. </w:t>
      </w:r>
      <w:r w:rsidR="008462A3" w:rsidRPr="001F219E">
        <w:rPr>
          <w:rFonts w:ascii="Arial" w:eastAsia="Times New Roman" w:hAnsi="Arial" w:cs="Arial"/>
          <w:bCs/>
          <w:color w:val="000000"/>
          <w:sz w:val="20"/>
          <w:szCs w:val="20"/>
          <w:lang w:eastAsia="en-IN"/>
        </w:rPr>
        <w:t xml:space="preserve">   </w:t>
      </w:r>
      <w:r w:rsidRPr="001F219E">
        <w:rPr>
          <w:rFonts w:ascii="Arial" w:eastAsia="Times New Roman" w:hAnsi="Arial" w:cs="Arial"/>
          <w:bCs/>
          <w:color w:val="000000"/>
          <w:sz w:val="20"/>
          <w:szCs w:val="20"/>
          <w:lang w:eastAsia="en-IN"/>
        </w:rPr>
        <w:t>Reporting Requirements</w:t>
      </w:r>
    </w:p>
    <w:p w:rsidR="001E7AD4" w:rsidRPr="001F219E" w:rsidRDefault="001E7AD4" w:rsidP="00645D84">
      <w:pPr>
        <w:spacing w:after="0" w:line="240" w:lineRule="auto"/>
        <w:rPr>
          <w:rFonts w:ascii="Arial" w:eastAsia="Times New Roman" w:hAnsi="Arial" w:cs="Arial"/>
          <w:bCs/>
          <w:color w:val="000000"/>
          <w:sz w:val="20"/>
          <w:szCs w:val="20"/>
          <w:lang w:eastAsia="en-IN"/>
        </w:rPr>
      </w:pPr>
      <w:r w:rsidRPr="001F219E">
        <w:rPr>
          <w:rFonts w:ascii="Arial" w:eastAsia="Times New Roman" w:hAnsi="Arial" w:cs="Arial"/>
          <w:bCs/>
          <w:color w:val="000000"/>
          <w:sz w:val="20"/>
          <w:szCs w:val="20"/>
          <w:lang w:eastAsia="en-IN"/>
        </w:rPr>
        <w:t xml:space="preserve">10. </w:t>
      </w:r>
      <w:r w:rsidR="008462A3" w:rsidRPr="001F219E">
        <w:rPr>
          <w:rFonts w:ascii="Arial" w:eastAsia="Times New Roman" w:hAnsi="Arial" w:cs="Arial"/>
          <w:bCs/>
          <w:color w:val="000000"/>
          <w:sz w:val="20"/>
          <w:szCs w:val="20"/>
          <w:lang w:eastAsia="en-IN"/>
        </w:rPr>
        <w:t xml:space="preserve"> </w:t>
      </w:r>
      <w:r w:rsidRPr="001F219E">
        <w:rPr>
          <w:rFonts w:ascii="Arial" w:eastAsia="Times New Roman" w:hAnsi="Arial" w:cs="Arial"/>
          <w:bCs/>
          <w:color w:val="000000"/>
          <w:sz w:val="20"/>
          <w:szCs w:val="20"/>
          <w:lang w:eastAsia="en-IN"/>
        </w:rPr>
        <w:t>Approval Process</w:t>
      </w:r>
    </w:p>
    <w:p w:rsidR="001E7AD4" w:rsidRPr="001E7AD4" w:rsidRDefault="001E7AD4" w:rsidP="001E7AD4">
      <w:pPr>
        <w:spacing w:after="0" w:line="240" w:lineRule="auto"/>
        <w:jc w:val="both"/>
        <w:rPr>
          <w:rFonts w:ascii="Arial" w:eastAsia="Times New Roman" w:hAnsi="Arial" w:cs="Arial"/>
          <w:b/>
          <w:bCs/>
          <w:color w:val="000000"/>
          <w:sz w:val="20"/>
          <w:szCs w:val="20"/>
          <w:lang w:eastAsia="en-IN"/>
        </w:rPr>
      </w:pPr>
    </w:p>
    <w:p w:rsidR="001E7AD4" w:rsidRPr="001E7AD4" w:rsidRDefault="001E7AD4" w:rsidP="001E7AD4">
      <w:pPr>
        <w:spacing w:after="0" w:line="240" w:lineRule="auto"/>
        <w:jc w:val="both"/>
        <w:rPr>
          <w:rFonts w:ascii="Arial" w:eastAsia="Times New Roman" w:hAnsi="Arial" w:cs="Arial"/>
          <w:color w:val="000000"/>
          <w:sz w:val="20"/>
          <w:szCs w:val="20"/>
          <w:lang w:eastAsia="en-IN"/>
        </w:rPr>
      </w:pPr>
      <w:r w:rsidRPr="001E7AD4">
        <w:rPr>
          <w:rFonts w:ascii="Arial" w:eastAsia="Times New Roman" w:hAnsi="Arial" w:cs="Arial"/>
          <w:color w:val="000000"/>
          <w:sz w:val="20"/>
          <w:szCs w:val="20"/>
          <w:lang w:eastAsia="en-IN"/>
        </w:rPr>
        <w:t>Yours faithfully,</w:t>
      </w:r>
    </w:p>
    <w:p w:rsidR="001E7AD4" w:rsidRPr="001E7AD4" w:rsidRDefault="001E7AD4" w:rsidP="001E7AD4">
      <w:pPr>
        <w:spacing w:after="0" w:line="240" w:lineRule="auto"/>
        <w:rPr>
          <w:rFonts w:ascii="Arial" w:eastAsia="Times New Roman" w:hAnsi="Arial" w:cs="Arial"/>
          <w:color w:val="000000"/>
          <w:sz w:val="20"/>
          <w:szCs w:val="20"/>
          <w:lang w:eastAsia="en-IN"/>
        </w:rPr>
      </w:pPr>
      <w:r w:rsidRPr="001E7AD4">
        <w:rPr>
          <w:rFonts w:ascii="Arial" w:eastAsia="Times New Roman" w:hAnsi="Arial" w:cs="Arial"/>
          <w:color w:val="000000"/>
          <w:sz w:val="20"/>
          <w:szCs w:val="20"/>
          <w:lang w:eastAsia="en-IN"/>
        </w:rPr>
        <w:t>(</w:t>
      </w:r>
      <w:proofErr w:type="spellStart"/>
      <w:r w:rsidRPr="001E7AD4">
        <w:rPr>
          <w:rFonts w:ascii="Arial" w:eastAsia="Times New Roman" w:hAnsi="Arial" w:cs="Arial"/>
          <w:color w:val="000000"/>
          <w:sz w:val="20"/>
          <w:szCs w:val="20"/>
          <w:lang w:eastAsia="en-IN"/>
        </w:rPr>
        <w:t>Vivek</w:t>
      </w:r>
      <w:proofErr w:type="spellEnd"/>
      <w:r>
        <w:rPr>
          <w:rFonts w:ascii="Arial" w:eastAsia="Times New Roman" w:hAnsi="Arial" w:cs="Arial"/>
          <w:color w:val="000000"/>
          <w:sz w:val="20"/>
          <w:szCs w:val="20"/>
          <w:lang w:eastAsia="en-IN"/>
        </w:rPr>
        <w:t xml:space="preserve"> </w:t>
      </w:r>
      <w:r w:rsidRPr="001E7AD4">
        <w:rPr>
          <w:rFonts w:ascii="Arial" w:eastAsia="Times New Roman" w:hAnsi="Arial" w:cs="Arial"/>
          <w:color w:val="000000"/>
          <w:sz w:val="20"/>
          <w:szCs w:val="20"/>
          <w:lang w:eastAsia="en-IN"/>
        </w:rPr>
        <w:t>Srivastava)</w:t>
      </w:r>
      <w:r w:rsidRPr="001E7AD4">
        <w:rPr>
          <w:rFonts w:ascii="Arial" w:eastAsia="Times New Roman" w:hAnsi="Arial" w:cs="Arial"/>
          <w:color w:val="000000"/>
          <w:sz w:val="20"/>
          <w:szCs w:val="20"/>
          <w:lang w:eastAsia="en-IN"/>
        </w:rPr>
        <w:br/>
        <w:t>Chief General Manager</w:t>
      </w:r>
    </w:p>
    <w:p w:rsidR="000F6CB6" w:rsidRDefault="000F6CB6" w:rsidP="001E7AD4"/>
    <w:p w:rsidR="000F6CB6" w:rsidRDefault="000F6CB6" w:rsidP="001E7AD4"/>
    <w:p w:rsidR="001E7AD4" w:rsidRDefault="001E7AD4" w:rsidP="001E7AD4">
      <w:r>
        <w:t>More details can be referred to in the below link.</w:t>
      </w:r>
    </w:p>
    <w:p w:rsidR="001E7AD4" w:rsidRDefault="001E7AD4" w:rsidP="001E7AD4">
      <w:pPr>
        <w:spacing w:after="0"/>
        <w:jc w:val="both"/>
      </w:pPr>
      <w:r>
        <w:rPr>
          <w:rFonts w:ascii="Arial" w:hAnsi="Arial" w:cs="Arial"/>
          <w:sz w:val="20"/>
          <w:szCs w:val="20"/>
        </w:rPr>
        <w:t>Reference Link:</w:t>
      </w:r>
      <w:r w:rsidRPr="00121B22">
        <w:t xml:space="preserve"> </w:t>
      </w:r>
      <w:hyperlink r:id="rId16" w:history="1">
        <w:r w:rsidRPr="00200311">
          <w:rPr>
            <w:rStyle w:val="Hyperlink"/>
          </w:rPr>
          <w:t>https://rbi.org.in/Scripts/NotificationUser.aspx?Id=12358&amp;Mode=0</w:t>
        </w:r>
      </w:hyperlink>
    </w:p>
    <w:p w:rsidR="00583041" w:rsidRPr="00583041" w:rsidRDefault="00583041" w:rsidP="00583041">
      <w:pPr>
        <w:spacing w:after="0"/>
        <w:jc w:val="both"/>
        <w:rPr>
          <w:rFonts w:ascii="Arial" w:hAnsi="Arial" w:cs="Arial"/>
          <w:b/>
          <w:sz w:val="20"/>
          <w:szCs w:val="20"/>
        </w:rPr>
      </w:pPr>
      <w:r w:rsidRPr="00583041">
        <w:rPr>
          <w:rFonts w:ascii="Arial" w:hAnsi="Arial" w:cs="Arial"/>
          <w:b/>
          <w:sz w:val="20"/>
          <w:szCs w:val="20"/>
        </w:rPr>
        <w:lastRenderedPageBreak/>
        <w:t>Foreign Exchange Management (Borrowing and Lending) (Amendment) Regulations, 2022</w:t>
      </w:r>
    </w:p>
    <w:p w:rsidR="00583041" w:rsidRPr="00583041" w:rsidRDefault="00583041" w:rsidP="00583041">
      <w:pPr>
        <w:spacing w:after="0"/>
        <w:jc w:val="both"/>
        <w:rPr>
          <w:rFonts w:ascii="Arial" w:hAnsi="Arial" w:cs="Arial"/>
          <w:sz w:val="20"/>
          <w:szCs w:val="20"/>
        </w:rPr>
      </w:pPr>
    </w:p>
    <w:p w:rsidR="00583041" w:rsidRPr="00583041" w:rsidRDefault="00583041" w:rsidP="00583041">
      <w:pPr>
        <w:spacing w:after="0"/>
        <w:jc w:val="both"/>
        <w:rPr>
          <w:rFonts w:ascii="Arial" w:hAnsi="Arial" w:cs="Arial"/>
          <w:sz w:val="20"/>
          <w:szCs w:val="20"/>
        </w:rPr>
      </w:pPr>
      <w:r w:rsidRPr="00583041">
        <w:rPr>
          <w:rFonts w:ascii="Arial" w:hAnsi="Arial" w:cs="Arial"/>
          <w:sz w:val="20"/>
          <w:szCs w:val="20"/>
        </w:rPr>
        <w:t>Reserve Bank of India</w:t>
      </w:r>
    </w:p>
    <w:p w:rsidR="00583041" w:rsidRPr="00583041" w:rsidRDefault="00583041" w:rsidP="00583041">
      <w:pPr>
        <w:spacing w:after="0"/>
        <w:jc w:val="both"/>
        <w:rPr>
          <w:rFonts w:ascii="Arial" w:hAnsi="Arial" w:cs="Arial"/>
          <w:sz w:val="20"/>
          <w:szCs w:val="20"/>
        </w:rPr>
      </w:pPr>
      <w:r w:rsidRPr="00583041">
        <w:rPr>
          <w:rFonts w:ascii="Arial" w:hAnsi="Arial" w:cs="Arial"/>
          <w:sz w:val="20"/>
          <w:szCs w:val="20"/>
        </w:rPr>
        <w:t>Foreign Exchange Department</w:t>
      </w:r>
    </w:p>
    <w:p w:rsidR="00583041" w:rsidRPr="00583041" w:rsidRDefault="00583041" w:rsidP="00583041">
      <w:pPr>
        <w:spacing w:after="0"/>
        <w:jc w:val="both"/>
        <w:rPr>
          <w:rFonts w:ascii="Arial" w:hAnsi="Arial" w:cs="Arial"/>
          <w:sz w:val="20"/>
          <w:szCs w:val="20"/>
        </w:rPr>
      </w:pPr>
      <w:r w:rsidRPr="00583041">
        <w:rPr>
          <w:rFonts w:ascii="Arial" w:hAnsi="Arial" w:cs="Arial"/>
          <w:sz w:val="20"/>
          <w:szCs w:val="20"/>
        </w:rPr>
        <w:t>Central Office</w:t>
      </w:r>
    </w:p>
    <w:p w:rsidR="00583041" w:rsidRPr="00583041" w:rsidRDefault="00583041" w:rsidP="00583041">
      <w:pPr>
        <w:spacing w:after="0"/>
        <w:jc w:val="both"/>
        <w:rPr>
          <w:rFonts w:ascii="Arial" w:hAnsi="Arial" w:cs="Arial"/>
          <w:sz w:val="20"/>
          <w:szCs w:val="20"/>
        </w:rPr>
      </w:pPr>
      <w:r w:rsidRPr="00583041">
        <w:rPr>
          <w:rFonts w:ascii="Arial" w:hAnsi="Arial" w:cs="Arial"/>
          <w:sz w:val="20"/>
          <w:szCs w:val="20"/>
        </w:rPr>
        <w:t>Mumbai</w:t>
      </w:r>
    </w:p>
    <w:p w:rsidR="00583041" w:rsidRPr="00583041" w:rsidRDefault="00583041" w:rsidP="00583041">
      <w:pPr>
        <w:spacing w:after="0"/>
        <w:jc w:val="both"/>
        <w:rPr>
          <w:rFonts w:ascii="Arial" w:hAnsi="Arial" w:cs="Arial"/>
          <w:sz w:val="20"/>
          <w:szCs w:val="20"/>
        </w:rPr>
      </w:pPr>
    </w:p>
    <w:p w:rsidR="00583041" w:rsidRPr="00583041" w:rsidRDefault="00583041" w:rsidP="00583041">
      <w:pPr>
        <w:spacing w:after="0"/>
        <w:jc w:val="both"/>
        <w:rPr>
          <w:rFonts w:ascii="Arial" w:hAnsi="Arial" w:cs="Arial"/>
          <w:sz w:val="20"/>
          <w:szCs w:val="20"/>
        </w:rPr>
      </w:pPr>
      <w:r w:rsidRPr="00583041">
        <w:rPr>
          <w:rFonts w:ascii="Arial" w:hAnsi="Arial" w:cs="Arial"/>
          <w:sz w:val="20"/>
          <w:szCs w:val="20"/>
        </w:rPr>
        <w:t>Notification No. FEMA.3(R)(3)/2022-RB</w:t>
      </w:r>
    </w:p>
    <w:p w:rsidR="00583041" w:rsidRPr="00583041" w:rsidRDefault="00583041" w:rsidP="00583041">
      <w:pPr>
        <w:spacing w:after="0"/>
        <w:jc w:val="both"/>
        <w:rPr>
          <w:rFonts w:ascii="Arial" w:hAnsi="Arial" w:cs="Arial"/>
          <w:sz w:val="20"/>
          <w:szCs w:val="20"/>
        </w:rPr>
      </w:pPr>
    </w:p>
    <w:p w:rsidR="00583041" w:rsidRPr="00583041" w:rsidRDefault="00583041" w:rsidP="00583041">
      <w:pPr>
        <w:spacing w:after="0"/>
        <w:jc w:val="right"/>
        <w:rPr>
          <w:rFonts w:ascii="Arial" w:hAnsi="Arial" w:cs="Arial"/>
          <w:sz w:val="20"/>
          <w:szCs w:val="20"/>
        </w:rPr>
      </w:pPr>
      <w:r w:rsidRPr="00583041">
        <w:rPr>
          <w:rFonts w:ascii="Arial" w:hAnsi="Arial" w:cs="Arial"/>
          <w:sz w:val="20"/>
          <w:szCs w:val="20"/>
        </w:rPr>
        <w:t>July 28, 2022</w:t>
      </w:r>
    </w:p>
    <w:p w:rsidR="00583041" w:rsidRPr="00583041" w:rsidRDefault="00583041" w:rsidP="00583041">
      <w:pPr>
        <w:spacing w:after="0"/>
        <w:jc w:val="both"/>
        <w:rPr>
          <w:rFonts w:ascii="Arial" w:hAnsi="Arial" w:cs="Arial"/>
          <w:sz w:val="20"/>
          <w:szCs w:val="20"/>
        </w:rPr>
      </w:pPr>
    </w:p>
    <w:p w:rsidR="00583041" w:rsidRPr="00583041" w:rsidRDefault="00583041" w:rsidP="00583041">
      <w:pPr>
        <w:spacing w:after="0"/>
        <w:jc w:val="both"/>
        <w:rPr>
          <w:rFonts w:ascii="Arial" w:hAnsi="Arial" w:cs="Arial"/>
          <w:b/>
          <w:sz w:val="20"/>
          <w:szCs w:val="20"/>
        </w:rPr>
      </w:pPr>
      <w:r w:rsidRPr="00583041">
        <w:rPr>
          <w:rFonts w:ascii="Arial" w:hAnsi="Arial" w:cs="Arial"/>
          <w:b/>
          <w:sz w:val="20"/>
          <w:szCs w:val="20"/>
        </w:rPr>
        <w:t>Foreign Exchange Management (Borrowing and Lending) (Amendment) Regulations, 2022</w:t>
      </w:r>
    </w:p>
    <w:p w:rsidR="00583041" w:rsidRPr="00583041" w:rsidRDefault="00583041" w:rsidP="00583041">
      <w:pPr>
        <w:spacing w:after="0"/>
        <w:jc w:val="both"/>
        <w:rPr>
          <w:rFonts w:ascii="Arial" w:hAnsi="Arial" w:cs="Arial"/>
          <w:sz w:val="20"/>
          <w:szCs w:val="20"/>
        </w:rPr>
      </w:pPr>
    </w:p>
    <w:p w:rsidR="00583041" w:rsidRPr="00583041" w:rsidRDefault="00583041" w:rsidP="00583041">
      <w:pPr>
        <w:spacing w:after="0"/>
        <w:jc w:val="both"/>
        <w:rPr>
          <w:rFonts w:ascii="Arial" w:hAnsi="Arial" w:cs="Arial"/>
          <w:sz w:val="20"/>
          <w:szCs w:val="20"/>
        </w:rPr>
      </w:pPr>
      <w:r w:rsidRPr="00583041">
        <w:rPr>
          <w:rFonts w:ascii="Arial" w:hAnsi="Arial" w:cs="Arial"/>
          <w:sz w:val="20"/>
          <w:szCs w:val="20"/>
        </w:rPr>
        <w:t>In exercise of the powers conferred by sub-section (2) of Section 6 and Section 47 of the Foreign Exchange Management Act, 1999 (42 of 1999), the Reserve Bank of India hereby makes the following amendments to the Foreign Exchange Management (Borrowing and Lending) Regulations, 2018 (Notification No. FEMA.3(R)/2018-RB dated December 17, 2018) (hereinafter referred to as 'the Principal Regulations'), namely:</w:t>
      </w:r>
    </w:p>
    <w:p w:rsidR="00583041" w:rsidRPr="00583041" w:rsidRDefault="00583041" w:rsidP="00583041">
      <w:pPr>
        <w:spacing w:after="0"/>
        <w:jc w:val="both"/>
        <w:rPr>
          <w:rFonts w:ascii="Arial" w:hAnsi="Arial" w:cs="Arial"/>
          <w:sz w:val="20"/>
          <w:szCs w:val="20"/>
        </w:rPr>
      </w:pPr>
    </w:p>
    <w:p w:rsidR="00583041" w:rsidRPr="00583041" w:rsidRDefault="00583041" w:rsidP="00583041">
      <w:pPr>
        <w:spacing w:after="0"/>
        <w:jc w:val="both"/>
        <w:rPr>
          <w:rFonts w:ascii="Arial" w:hAnsi="Arial" w:cs="Arial"/>
          <w:sz w:val="20"/>
          <w:szCs w:val="20"/>
        </w:rPr>
      </w:pPr>
      <w:r w:rsidRPr="00583041">
        <w:rPr>
          <w:rFonts w:ascii="Arial" w:hAnsi="Arial" w:cs="Arial"/>
          <w:sz w:val="20"/>
          <w:szCs w:val="20"/>
        </w:rPr>
        <w:t>1. Short Title &amp; Commencement:</w:t>
      </w:r>
    </w:p>
    <w:p w:rsidR="00583041" w:rsidRPr="00583041" w:rsidRDefault="00583041" w:rsidP="00583041">
      <w:pPr>
        <w:spacing w:after="0"/>
        <w:jc w:val="both"/>
        <w:rPr>
          <w:rFonts w:ascii="Arial" w:hAnsi="Arial" w:cs="Arial"/>
          <w:sz w:val="20"/>
          <w:szCs w:val="20"/>
        </w:rPr>
      </w:pPr>
    </w:p>
    <w:p w:rsidR="00583041" w:rsidRPr="00583041" w:rsidRDefault="00583041" w:rsidP="00583041">
      <w:pPr>
        <w:spacing w:after="0"/>
        <w:jc w:val="both"/>
        <w:rPr>
          <w:rFonts w:ascii="Arial" w:hAnsi="Arial" w:cs="Arial"/>
          <w:sz w:val="20"/>
          <w:szCs w:val="20"/>
        </w:rPr>
      </w:pPr>
      <w:r w:rsidRPr="00583041">
        <w:rPr>
          <w:rFonts w:ascii="Arial" w:hAnsi="Arial" w:cs="Arial"/>
          <w:sz w:val="20"/>
          <w:szCs w:val="20"/>
        </w:rPr>
        <w:t>(</w:t>
      </w:r>
      <w:proofErr w:type="spellStart"/>
      <w:r w:rsidRPr="00583041">
        <w:rPr>
          <w:rFonts w:ascii="Arial" w:hAnsi="Arial" w:cs="Arial"/>
          <w:sz w:val="20"/>
          <w:szCs w:val="20"/>
        </w:rPr>
        <w:t>i</w:t>
      </w:r>
      <w:proofErr w:type="spellEnd"/>
      <w:r w:rsidRPr="00583041">
        <w:rPr>
          <w:rFonts w:ascii="Arial" w:hAnsi="Arial" w:cs="Arial"/>
          <w:sz w:val="20"/>
          <w:szCs w:val="20"/>
        </w:rPr>
        <w:t>) These Regulations may be called the Foreign Exchange Management (Borrowing and Lending) (Third Amendment) Regulations, 2022.</w:t>
      </w:r>
    </w:p>
    <w:p w:rsidR="00583041" w:rsidRPr="00583041" w:rsidRDefault="00583041" w:rsidP="00583041">
      <w:pPr>
        <w:spacing w:after="0"/>
        <w:jc w:val="both"/>
        <w:rPr>
          <w:rFonts w:ascii="Arial" w:hAnsi="Arial" w:cs="Arial"/>
          <w:sz w:val="20"/>
          <w:szCs w:val="20"/>
        </w:rPr>
      </w:pPr>
    </w:p>
    <w:p w:rsidR="00583041" w:rsidRPr="00583041" w:rsidRDefault="00583041" w:rsidP="00583041">
      <w:pPr>
        <w:spacing w:after="0"/>
        <w:jc w:val="both"/>
        <w:rPr>
          <w:rFonts w:ascii="Arial" w:hAnsi="Arial" w:cs="Arial"/>
          <w:sz w:val="20"/>
          <w:szCs w:val="20"/>
        </w:rPr>
      </w:pPr>
      <w:r w:rsidRPr="00583041">
        <w:rPr>
          <w:rFonts w:ascii="Arial" w:hAnsi="Arial" w:cs="Arial"/>
          <w:sz w:val="20"/>
          <w:szCs w:val="20"/>
        </w:rPr>
        <w:t>(ii) They shall come into force from the date of notification in the official gazette.</w:t>
      </w:r>
    </w:p>
    <w:p w:rsidR="00583041" w:rsidRPr="00583041" w:rsidRDefault="00583041" w:rsidP="00583041">
      <w:pPr>
        <w:spacing w:after="0"/>
        <w:jc w:val="both"/>
        <w:rPr>
          <w:rFonts w:ascii="Arial" w:hAnsi="Arial" w:cs="Arial"/>
          <w:sz w:val="20"/>
          <w:szCs w:val="20"/>
        </w:rPr>
      </w:pPr>
    </w:p>
    <w:p w:rsidR="00583041" w:rsidRPr="00583041" w:rsidRDefault="00583041" w:rsidP="00583041">
      <w:pPr>
        <w:spacing w:after="0"/>
        <w:jc w:val="both"/>
        <w:rPr>
          <w:rFonts w:ascii="Arial" w:hAnsi="Arial" w:cs="Arial"/>
          <w:sz w:val="20"/>
          <w:szCs w:val="20"/>
        </w:rPr>
      </w:pPr>
      <w:r w:rsidRPr="00583041">
        <w:rPr>
          <w:rFonts w:ascii="Arial" w:hAnsi="Arial" w:cs="Arial"/>
          <w:sz w:val="20"/>
          <w:szCs w:val="20"/>
        </w:rPr>
        <w:t>2. Amendment to Paragraph 2 of Schedule 1:</w:t>
      </w:r>
    </w:p>
    <w:p w:rsidR="00583041" w:rsidRPr="00583041" w:rsidRDefault="00583041" w:rsidP="00583041">
      <w:pPr>
        <w:spacing w:after="0"/>
        <w:jc w:val="both"/>
        <w:rPr>
          <w:rFonts w:ascii="Arial" w:hAnsi="Arial" w:cs="Arial"/>
          <w:sz w:val="20"/>
          <w:szCs w:val="20"/>
        </w:rPr>
      </w:pPr>
    </w:p>
    <w:p w:rsidR="00583041" w:rsidRPr="00583041" w:rsidRDefault="00583041" w:rsidP="00583041">
      <w:pPr>
        <w:spacing w:after="0"/>
        <w:jc w:val="both"/>
        <w:rPr>
          <w:rFonts w:ascii="Arial" w:hAnsi="Arial" w:cs="Arial"/>
          <w:sz w:val="20"/>
          <w:szCs w:val="20"/>
        </w:rPr>
      </w:pPr>
      <w:r w:rsidRPr="00583041">
        <w:rPr>
          <w:rFonts w:ascii="Arial" w:hAnsi="Arial" w:cs="Arial"/>
          <w:sz w:val="20"/>
          <w:szCs w:val="20"/>
        </w:rPr>
        <w:t>After Paragraph 8 of Schedule 1 to the Principal Regulations, the following shall be added;</w:t>
      </w:r>
    </w:p>
    <w:p w:rsidR="00583041" w:rsidRPr="00583041" w:rsidRDefault="00583041" w:rsidP="00583041">
      <w:pPr>
        <w:spacing w:after="0"/>
        <w:jc w:val="both"/>
        <w:rPr>
          <w:rFonts w:ascii="Arial" w:hAnsi="Arial" w:cs="Arial"/>
          <w:sz w:val="20"/>
          <w:szCs w:val="20"/>
        </w:rPr>
      </w:pPr>
    </w:p>
    <w:p w:rsidR="00583041" w:rsidRPr="00583041" w:rsidRDefault="00583041" w:rsidP="00583041">
      <w:pPr>
        <w:spacing w:after="0"/>
        <w:jc w:val="both"/>
        <w:rPr>
          <w:rFonts w:ascii="Arial" w:hAnsi="Arial" w:cs="Arial"/>
          <w:sz w:val="20"/>
          <w:szCs w:val="20"/>
        </w:rPr>
      </w:pPr>
      <w:r w:rsidRPr="00583041">
        <w:rPr>
          <w:rFonts w:ascii="Arial" w:hAnsi="Arial" w:cs="Arial"/>
          <w:sz w:val="20"/>
          <w:szCs w:val="20"/>
        </w:rPr>
        <w:t>“8A: The limit of USD 750 million or equivalent per financial year is temporarily increased to USD 1500 million or equivalent. This dispensation will be available for ECBs raised till December 31, 2022.”</w:t>
      </w:r>
    </w:p>
    <w:p w:rsidR="00583041" w:rsidRPr="00583041" w:rsidRDefault="00583041" w:rsidP="00583041">
      <w:pPr>
        <w:spacing w:after="0"/>
        <w:jc w:val="both"/>
        <w:rPr>
          <w:rFonts w:ascii="Arial" w:hAnsi="Arial" w:cs="Arial"/>
          <w:sz w:val="20"/>
          <w:szCs w:val="20"/>
        </w:rPr>
      </w:pPr>
    </w:p>
    <w:p w:rsidR="00583041" w:rsidRPr="00583041" w:rsidRDefault="00583041" w:rsidP="00583041">
      <w:pPr>
        <w:spacing w:after="0"/>
        <w:jc w:val="both"/>
        <w:rPr>
          <w:rFonts w:ascii="Arial" w:hAnsi="Arial" w:cs="Arial"/>
          <w:sz w:val="20"/>
          <w:szCs w:val="20"/>
        </w:rPr>
      </w:pPr>
      <w:r w:rsidRPr="00583041">
        <w:rPr>
          <w:rFonts w:ascii="Arial" w:hAnsi="Arial" w:cs="Arial"/>
          <w:sz w:val="20"/>
          <w:szCs w:val="20"/>
        </w:rPr>
        <w:t xml:space="preserve">(Ajay Kumar </w:t>
      </w:r>
      <w:proofErr w:type="spellStart"/>
      <w:r w:rsidRPr="00583041">
        <w:rPr>
          <w:rFonts w:ascii="Arial" w:hAnsi="Arial" w:cs="Arial"/>
          <w:sz w:val="20"/>
          <w:szCs w:val="20"/>
        </w:rPr>
        <w:t>Misra</w:t>
      </w:r>
      <w:proofErr w:type="spellEnd"/>
      <w:r w:rsidRPr="00583041">
        <w:rPr>
          <w:rFonts w:ascii="Arial" w:hAnsi="Arial" w:cs="Arial"/>
          <w:sz w:val="20"/>
          <w:szCs w:val="20"/>
        </w:rPr>
        <w:t>)</w:t>
      </w:r>
    </w:p>
    <w:p w:rsidR="001E7AD4" w:rsidRDefault="00583041" w:rsidP="00583041">
      <w:pPr>
        <w:spacing w:after="0"/>
        <w:jc w:val="both"/>
        <w:rPr>
          <w:rFonts w:ascii="Arial" w:hAnsi="Arial" w:cs="Arial"/>
          <w:sz w:val="20"/>
          <w:szCs w:val="20"/>
        </w:rPr>
      </w:pPr>
      <w:r w:rsidRPr="00583041">
        <w:rPr>
          <w:rFonts w:ascii="Arial" w:hAnsi="Arial" w:cs="Arial"/>
          <w:sz w:val="20"/>
          <w:szCs w:val="20"/>
        </w:rPr>
        <w:t>Chief General Manager-in-charge</w:t>
      </w:r>
    </w:p>
    <w:p w:rsidR="001E7AD4" w:rsidRDefault="001E7AD4" w:rsidP="00BF2165"/>
    <w:p w:rsidR="00583041" w:rsidRDefault="00583041" w:rsidP="00BF2165"/>
    <w:p w:rsidR="00583041" w:rsidRDefault="00583041" w:rsidP="00583041">
      <w:r>
        <w:t>More details can be referred to in the below link.</w:t>
      </w:r>
    </w:p>
    <w:p w:rsidR="00583041" w:rsidRDefault="00583041" w:rsidP="00583041">
      <w:pPr>
        <w:rPr>
          <w:rFonts w:ascii="Arial" w:hAnsi="Arial" w:cs="Arial"/>
          <w:sz w:val="20"/>
          <w:szCs w:val="20"/>
        </w:rPr>
      </w:pPr>
      <w:r>
        <w:rPr>
          <w:rFonts w:ascii="Arial" w:hAnsi="Arial" w:cs="Arial"/>
          <w:sz w:val="20"/>
          <w:szCs w:val="20"/>
        </w:rPr>
        <w:t xml:space="preserve">Reference Link: </w:t>
      </w:r>
      <w:hyperlink r:id="rId17" w:anchor=":~:text=%E2%80%9C8A%3A%20The%20limit%20of%20USD,till%20December%2031%2C%202022.%E2%80%9D&amp;text=Foot%20Note%3A%20%2D%20The%20Principal%20Regulations,No" w:history="1">
        <w:r w:rsidR="002A3764" w:rsidRPr="00200311">
          <w:rPr>
            <w:rStyle w:val="Hyperlink"/>
            <w:rFonts w:ascii="Arial" w:hAnsi="Arial" w:cs="Arial"/>
            <w:sz w:val="20"/>
            <w:szCs w:val="20"/>
          </w:rPr>
          <w:t>https://www.rbi.org.in/scripts/FS_Notification.aspx?Id=12377&amp;fn=5&amp;Mode=0#:~:text=%E2%80%9C8A%3A%20The%20limit%20of%20USD,till%20December%2031%2C%202022.%E2%80%9D&amp;text=Foot%20Note%3A%20%2D%20The%20Principal%20Regulations,No</w:t>
        </w:r>
      </w:hyperlink>
      <w:r w:rsidR="002A3764" w:rsidRPr="002A3764">
        <w:rPr>
          <w:rFonts w:ascii="Arial" w:hAnsi="Arial" w:cs="Arial"/>
          <w:sz w:val="20"/>
          <w:szCs w:val="20"/>
        </w:rPr>
        <w:t>.</w:t>
      </w:r>
    </w:p>
    <w:p w:rsidR="002A3764" w:rsidRDefault="002A3764" w:rsidP="00583041">
      <w:pPr>
        <w:rPr>
          <w:rFonts w:ascii="Arial" w:hAnsi="Arial" w:cs="Arial"/>
          <w:sz w:val="20"/>
          <w:szCs w:val="20"/>
        </w:rPr>
      </w:pPr>
    </w:p>
    <w:p w:rsidR="00583041" w:rsidRDefault="00583041" w:rsidP="00583041">
      <w:pPr>
        <w:rPr>
          <w:rFonts w:ascii="Arial" w:hAnsi="Arial" w:cs="Arial"/>
          <w:sz w:val="20"/>
          <w:szCs w:val="20"/>
        </w:rPr>
      </w:pPr>
    </w:p>
    <w:p w:rsidR="00B71788" w:rsidRDefault="00B71788" w:rsidP="00583041">
      <w:pPr>
        <w:rPr>
          <w:rFonts w:ascii="Arial" w:hAnsi="Arial" w:cs="Arial"/>
          <w:sz w:val="20"/>
          <w:szCs w:val="20"/>
        </w:rPr>
      </w:pPr>
    </w:p>
    <w:p w:rsidR="00583041" w:rsidRDefault="00583041" w:rsidP="00583041">
      <w:pPr>
        <w:rPr>
          <w:rFonts w:ascii="Arial" w:hAnsi="Arial" w:cs="Arial"/>
          <w:sz w:val="20"/>
          <w:szCs w:val="20"/>
        </w:rPr>
      </w:pPr>
    </w:p>
    <w:p w:rsidR="00583041" w:rsidRDefault="00583041" w:rsidP="00583041">
      <w:pPr>
        <w:rPr>
          <w:rFonts w:ascii="Arial" w:hAnsi="Arial" w:cs="Arial"/>
          <w:sz w:val="20"/>
          <w:szCs w:val="20"/>
        </w:rPr>
      </w:pPr>
    </w:p>
    <w:p w:rsidR="00583041" w:rsidRDefault="00583041" w:rsidP="00583041">
      <w:pPr>
        <w:rPr>
          <w:rFonts w:ascii="Arial" w:hAnsi="Arial" w:cs="Arial"/>
          <w:sz w:val="20"/>
          <w:szCs w:val="20"/>
        </w:rPr>
      </w:pPr>
    </w:p>
    <w:p w:rsidR="00583041" w:rsidRDefault="00583041" w:rsidP="00583041">
      <w:pPr>
        <w:rPr>
          <w:rFonts w:ascii="Arial" w:hAnsi="Arial" w:cs="Arial"/>
          <w:sz w:val="20"/>
          <w:szCs w:val="20"/>
        </w:rPr>
      </w:pPr>
    </w:p>
    <w:p w:rsidR="00583041" w:rsidRDefault="00583041" w:rsidP="00583041">
      <w:pPr>
        <w:rPr>
          <w:rFonts w:ascii="Arial" w:hAnsi="Arial" w:cs="Arial"/>
          <w:sz w:val="20"/>
          <w:szCs w:val="20"/>
        </w:rPr>
      </w:pPr>
    </w:p>
    <w:p w:rsidR="00583041" w:rsidRDefault="00583041" w:rsidP="00583041">
      <w:pPr>
        <w:rPr>
          <w:rFonts w:ascii="Arial" w:hAnsi="Arial" w:cs="Arial"/>
          <w:sz w:val="20"/>
          <w:szCs w:val="20"/>
        </w:rPr>
      </w:pPr>
    </w:p>
    <w:p w:rsidR="00583041" w:rsidRDefault="00583041" w:rsidP="00583041">
      <w:pPr>
        <w:rPr>
          <w:rFonts w:ascii="Arial" w:hAnsi="Arial" w:cs="Arial"/>
          <w:sz w:val="20"/>
          <w:szCs w:val="20"/>
        </w:rPr>
      </w:pPr>
    </w:p>
    <w:p w:rsidR="00583041" w:rsidRPr="00583041" w:rsidRDefault="00583041" w:rsidP="00583041">
      <w:pPr>
        <w:spacing w:line="240" w:lineRule="auto"/>
        <w:rPr>
          <w:rFonts w:ascii="Arial" w:hAnsi="Arial" w:cs="Arial"/>
          <w:sz w:val="20"/>
          <w:szCs w:val="20"/>
        </w:rPr>
      </w:pPr>
      <w:r w:rsidRPr="00583041">
        <w:rPr>
          <w:rFonts w:ascii="Arial" w:hAnsi="Arial" w:cs="Arial"/>
          <w:b/>
          <w:bCs/>
          <w:sz w:val="20"/>
          <w:szCs w:val="20"/>
        </w:rPr>
        <w:t>External Commercial Borrowings (ECB) Policy – Liberalisation Measures</w:t>
      </w:r>
    </w:p>
    <w:tbl>
      <w:tblPr>
        <w:tblW w:w="5000" w:type="pct"/>
        <w:jc w:val="center"/>
        <w:tblCellMar>
          <w:top w:w="15" w:type="dxa"/>
          <w:left w:w="15" w:type="dxa"/>
          <w:bottom w:w="15" w:type="dxa"/>
          <w:right w:w="15" w:type="dxa"/>
        </w:tblCellMar>
        <w:tblLook w:val="04A0" w:firstRow="1" w:lastRow="0" w:firstColumn="1" w:lastColumn="0" w:noHBand="0" w:noVBand="1"/>
      </w:tblPr>
      <w:tblGrid>
        <w:gridCol w:w="9026"/>
      </w:tblGrid>
      <w:tr w:rsidR="00583041" w:rsidRPr="00583041" w:rsidTr="00583041">
        <w:trPr>
          <w:jc w:val="center"/>
        </w:trPr>
        <w:tc>
          <w:tcPr>
            <w:tcW w:w="0" w:type="auto"/>
            <w:tcBorders>
              <w:top w:val="nil"/>
              <w:left w:val="nil"/>
              <w:bottom w:val="nil"/>
              <w:right w:val="nil"/>
            </w:tcBorders>
            <w:tcMar>
              <w:top w:w="15" w:type="dxa"/>
              <w:left w:w="45" w:type="dxa"/>
              <w:bottom w:w="15" w:type="dxa"/>
              <w:right w:w="45" w:type="dxa"/>
            </w:tcMar>
            <w:vAlign w:val="center"/>
            <w:hideMark/>
          </w:tcPr>
          <w:p w:rsidR="00583041" w:rsidRPr="00583041" w:rsidRDefault="00583041" w:rsidP="00CE14AF">
            <w:pPr>
              <w:pStyle w:val="NormalWeb"/>
              <w:spacing w:before="0" w:beforeAutospacing="0"/>
              <w:rPr>
                <w:rFonts w:ascii="Arial" w:hAnsi="Arial" w:cs="Arial"/>
                <w:sz w:val="20"/>
                <w:szCs w:val="20"/>
              </w:rPr>
            </w:pPr>
            <w:r w:rsidRPr="00583041">
              <w:rPr>
                <w:rFonts w:ascii="Arial" w:hAnsi="Arial" w:cs="Arial"/>
                <w:sz w:val="20"/>
                <w:szCs w:val="20"/>
              </w:rPr>
              <w:t>RBI/2022-23/98</w:t>
            </w:r>
            <w:r w:rsidRPr="00583041">
              <w:rPr>
                <w:rFonts w:ascii="Arial" w:hAnsi="Arial" w:cs="Arial"/>
                <w:sz w:val="20"/>
                <w:szCs w:val="20"/>
              </w:rPr>
              <w:br/>
              <w:t>A.P. (DIR Series) Circular No. 11</w:t>
            </w:r>
          </w:p>
          <w:p w:rsidR="00583041" w:rsidRPr="00583041" w:rsidRDefault="00583041" w:rsidP="002A3764">
            <w:pPr>
              <w:pStyle w:val="NormalWeb"/>
              <w:spacing w:before="0" w:beforeAutospacing="0"/>
              <w:jc w:val="right"/>
              <w:rPr>
                <w:rFonts w:ascii="Arial" w:hAnsi="Arial" w:cs="Arial"/>
                <w:sz w:val="20"/>
                <w:szCs w:val="20"/>
              </w:rPr>
            </w:pPr>
            <w:r w:rsidRPr="00583041">
              <w:rPr>
                <w:rFonts w:ascii="Arial" w:hAnsi="Arial" w:cs="Arial"/>
                <w:sz w:val="20"/>
                <w:szCs w:val="20"/>
              </w:rPr>
              <w:t>August 1, 2022</w:t>
            </w:r>
          </w:p>
          <w:p w:rsidR="00583041" w:rsidRPr="00583041" w:rsidRDefault="00583041" w:rsidP="00CE14AF">
            <w:pPr>
              <w:pStyle w:val="NormalWeb"/>
              <w:spacing w:before="0" w:beforeAutospacing="0" w:after="0" w:afterAutospacing="0"/>
              <w:rPr>
                <w:rFonts w:ascii="Arial" w:hAnsi="Arial" w:cs="Arial"/>
                <w:sz w:val="20"/>
                <w:szCs w:val="20"/>
              </w:rPr>
            </w:pPr>
            <w:r w:rsidRPr="00583041">
              <w:rPr>
                <w:rFonts w:ascii="Arial" w:hAnsi="Arial" w:cs="Arial"/>
                <w:sz w:val="20"/>
                <w:szCs w:val="20"/>
              </w:rPr>
              <w:t>To</w:t>
            </w:r>
          </w:p>
          <w:p w:rsidR="00583041" w:rsidRPr="00583041" w:rsidRDefault="00583041" w:rsidP="00CE14AF">
            <w:pPr>
              <w:pStyle w:val="NormalWeb"/>
              <w:spacing w:before="0" w:beforeAutospacing="0" w:after="0" w:afterAutospacing="0"/>
              <w:rPr>
                <w:rFonts w:ascii="Arial" w:hAnsi="Arial" w:cs="Arial"/>
                <w:sz w:val="20"/>
                <w:szCs w:val="20"/>
              </w:rPr>
            </w:pPr>
            <w:r w:rsidRPr="00583041">
              <w:rPr>
                <w:rFonts w:ascii="Arial" w:hAnsi="Arial" w:cs="Arial"/>
                <w:sz w:val="20"/>
                <w:szCs w:val="20"/>
              </w:rPr>
              <w:t>All Category-I Authorised Dealer Banks</w:t>
            </w:r>
          </w:p>
          <w:p w:rsidR="00CE14AF" w:rsidRPr="00CE14AF" w:rsidRDefault="00583041" w:rsidP="00CE14AF">
            <w:pPr>
              <w:pStyle w:val="NormalWeb"/>
              <w:spacing w:before="0" w:beforeAutospacing="0" w:after="0" w:afterAutospacing="0"/>
              <w:rPr>
                <w:rFonts w:ascii="Arial" w:hAnsi="Arial" w:cs="Arial"/>
                <w:sz w:val="20"/>
                <w:szCs w:val="20"/>
              </w:rPr>
            </w:pPr>
            <w:r w:rsidRPr="00583041">
              <w:rPr>
                <w:rFonts w:ascii="Arial" w:hAnsi="Arial" w:cs="Arial"/>
                <w:sz w:val="20"/>
                <w:szCs w:val="20"/>
              </w:rPr>
              <w:t>Madam / Sir,</w:t>
            </w:r>
          </w:p>
          <w:p w:rsidR="00583041" w:rsidRPr="00583041" w:rsidRDefault="00583041">
            <w:pPr>
              <w:pStyle w:val="head"/>
              <w:jc w:val="center"/>
              <w:rPr>
                <w:rFonts w:ascii="Arial" w:hAnsi="Arial" w:cs="Arial"/>
                <w:b/>
                <w:bCs/>
                <w:sz w:val="20"/>
                <w:szCs w:val="20"/>
              </w:rPr>
            </w:pPr>
            <w:r w:rsidRPr="00583041">
              <w:rPr>
                <w:rFonts w:ascii="Arial" w:hAnsi="Arial" w:cs="Arial"/>
                <w:b/>
                <w:bCs/>
                <w:sz w:val="20"/>
                <w:szCs w:val="20"/>
              </w:rPr>
              <w:t>External Commercial Borrowings (ECB) Policy – Liberalisation Measures</w:t>
            </w:r>
          </w:p>
          <w:p w:rsidR="00583041" w:rsidRPr="00583041" w:rsidRDefault="00583041" w:rsidP="00583041">
            <w:pPr>
              <w:pStyle w:val="NormalWeb"/>
              <w:spacing w:before="0" w:beforeAutospacing="0"/>
              <w:rPr>
                <w:rFonts w:ascii="Arial" w:hAnsi="Arial" w:cs="Arial"/>
                <w:sz w:val="20"/>
                <w:szCs w:val="20"/>
              </w:rPr>
            </w:pPr>
            <w:r w:rsidRPr="00583041">
              <w:rPr>
                <w:rFonts w:ascii="Arial" w:hAnsi="Arial" w:cs="Arial"/>
                <w:sz w:val="20"/>
                <w:szCs w:val="20"/>
              </w:rPr>
              <w:t>Attention is invited to paragraph 2.2 of </w:t>
            </w:r>
            <w:hyperlink r:id="rId18" w:tgtFrame="_blank" w:history="1">
              <w:r w:rsidRPr="00583041">
                <w:rPr>
                  <w:rStyle w:val="Hyperlink"/>
                  <w:rFonts w:ascii="Arial" w:hAnsi="Arial" w:cs="Arial"/>
                  <w:sz w:val="20"/>
                  <w:szCs w:val="20"/>
                </w:rPr>
                <w:t>FED Master Direction No.5 on External Commercial Borrowings, Trade Credits and Structured Obligations, dated March 26, 2019</w:t>
              </w:r>
            </w:hyperlink>
            <w:r w:rsidRPr="00583041">
              <w:rPr>
                <w:rFonts w:ascii="Arial" w:hAnsi="Arial" w:cs="Arial"/>
                <w:sz w:val="20"/>
                <w:szCs w:val="20"/>
              </w:rPr>
              <w:t> (as amended from time to time), in terms of which eligible ECB borrowers are allowed to raise ECB up to USD 750 million or equivalent per financial year under the automatic route, and paragraph 2.1.vi. ibid, wherein the all-in-cost ceiling for ECBs has been specified.</w:t>
            </w:r>
          </w:p>
          <w:p w:rsidR="00583041" w:rsidRPr="00583041" w:rsidRDefault="00583041" w:rsidP="00583041">
            <w:pPr>
              <w:pStyle w:val="NormalWeb"/>
              <w:spacing w:before="0" w:beforeAutospacing="0"/>
              <w:rPr>
                <w:rFonts w:ascii="Arial" w:hAnsi="Arial" w:cs="Arial"/>
                <w:sz w:val="20"/>
                <w:szCs w:val="20"/>
              </w:rPr>
            </w:pPr>
            <w:r w:rsidRPr="00583041">
              <w:rPr>
                <w:rFonts w:ascii="Arial" w:hAnsi="Arial" w:cs="Arial"/>
                <w:sz w:val="20"/>
                <w:szCs w:val="20"/>
              </w:rPr>
              <w:t>2. As announced in paragraph five of the </w:t>
            </w:r>
            <w:hyperlink r:id="rId19" w:tgtFrame="_blank" w:history="1">
              <w:r w:rsidRPr="00583041">
                <w:rPr>
                  <w:rStyle w:val="Hyperlink"/>
                  <w:rFonts w:ascii="Arial" w:hAnsi="Arial" w:cs="Arial"/>
                  <w:sz w:val="20"/>
                  <w:szCs w:val="20"/>
                </w:rPr>
                <w:t>press release on “Liberalisation of Forex Flows” dated July 06, 2022</w:t>
              </w:r>
            </w:hyperlink>
            <w:r w:rsidRPr="00583041">
              <w:rPr>
                <w:rFonts w:ascii="Arial" w:hAnsi="Arial" w:cs="Arial"/>
                <w:sz w:val="20"/>
                <w:szCs w:val="20"/>
              </w:rPr>
              <w:t>, it has been decided, in consultation with the Central Government, to:</w:t>
            </w:r>
          </w:p>
          <w:p w:rsidR="00583041" w:rsidRPr="00583041" w:rsidRDefault="00583041" w:rsidP="00583041">
            <w:pPr>
              <w:pStyle w:val="NormalWeb"/>
              <w:spacing w:before="0" w:beforeAutospacing="0"/>
              <w:rPr>
                <w:rFonts w:ascii="Arial" w:hAnsi="Arial" w:cs="Arial"/>
                <w:sz w:val="20"/>
                <w:szCs w:val="20"/>
              </w:rPr>
            </w:pPr>
            <w:proofErr w:type="spellStart"/>
            <w:r w:rsidRPr="00583041">
              <w:rPr>
                <w:rFonts w:ascii="Arial" w:hAnsi="Arial" w:cs="Arial"/>
                <w:sz w:val="20"/>
                <w:szCs w:val="20"/>
              </w:rPr>
              <w:t>i</w:t>
            </w:r>
            <w:proofErr w:type="spellEnd"/>
            <w:r w:rsidRPr="00583041">
              <w:rPr>
                <w:rFonts w:ascii="Arial" w:hAnsi="Arial" w:cs="Arial"/>
                <w:sz w:val="20"/>
                <w:szCs w:val="20"/>
              </w:rPr>
              <w:t>) increase the automatic route limit from USD 750 million or equivalent to USD 1.5 billion or equivalent.</w:t>
            </w:r>
          </w:p>
          <w:p w:rsidR="00583041" w:rsidRPr="00583041" w:rsidRDefault="00583041" w:rsidP="00583041">
            <w:pPr>
              <w:pStyle w:val="NormalWeb"/>
              <w:spacing w:before="0" w:beforeAutospacing="0"/>
              <w:rPr>
                <w:rFonts w:ascii="Arial" w:hAnsi="Arial" w:cs="Arial"/>
                <w:sz w:val="20"/>
                <w:szCs w:val="20"/>
              </w:rPr>
            </w:pPr>
            <w:r w:rsidRPr="00583041">
              <w:rPr>
                <w:rFonts w:ascii="Arial" w:hAnsi="Arial" w:cs="Arial"/>
                <w:sz w:val="20"/>
                <w:szCs w:val="20"/>
              </w:rPr>
              <w:t>ii) increase the all-in-cost ceiling for ECBs, by 100 bps. The enhanced all-in-cost ceiling shall be available only to eligible borrowers of investment grade rating from Indian Credit Rating Agencies (CRAs). Other eligible borrowers may raise ECB within the existing all-in-cost ceiling, as hitherto.</w:t>
            </w:r>
          </w:p>
          <w:p w:rsidR="00583041" w:rsidRPr="00583041" w:rsidRDefault="00583041" w:rsidP="00583041">
            <w:pPr>
              <w:pStyle w:val="NormalWeb"/>
              <w:spacing w:before="0" w:beforeAutospacing="0"/>
              <w:rPr>
                <w:rFonts w:ascii="Arial" w:hAnsi="Arial" w:cs="Arial"/>
                <w:sz w:val="20"/>
                <w:szCs w:val="20"/>
              </w:rPr>
            </w:pPr>
            <w:r w:rsidRPr="00583041">
              <w:rPr>
                <w:rFonts w:ascii="Arial" w:hAnsi="Arial" w:cs="Arial"/>
                <w:sz w:val="20"/>
                <w:szCs w:val="20"/>
              </w:rPr>
              <w:t>The above relaxations would be available for ECBs to be raised till December 31, 2022.</w:t>
            </w:r>
          </w:p>
          <w:p w:rsidR="00583041" w:rsidRPr="00583041" w:rsidRDefault="00583041" w:rsidP="00583041">
            <w:pPr>
              <w:pStyle w:val="NormalWeb"/>
              <w:spacing w:before="0" w:beforeAutospacing="0"/>
              <w:rPr>
                <w:rFonts w:ascii="Arial" w:hAnsi="Arial" w:cs="Arial"/>
                <w:sz w:val="20"/>
                <w:szCs w:val="20"/>
              </w:rPr>
            </w:pPr>
            <w:r w:rsidRPr="00583041">
              <w:rPr>
                <w:rFonts w:ascii="Arial" w:hAnsi="Arial" w:cs="Arial"/>
                <w:sz w:val="20"/>
                <w:szCs w:val="20"/>
              </w:rPr>
              <w:t>3. AD Category-I banks may bring the contents of this circular to the notice of their constituents and customers.</w:t>
            </w:r>
          </w:p>
          <w:p w:rsidR="00583041" w:rsidRPr="00583041" w:rsidRDefault="00583041" w:rsidP="00583041">
            <w:pPr>
              <w:pStyle w:val="NormalWeb"/>
              <w:spacing w:before="0" w:beforeAutospacing="0"/>
              <w:rPr>
                <w:rFonts w:ascii="Arial" w:hAnsi="Arial" w:cs="Arial"/>
                <w:sz w:val="20"/>
                <w:szCs w:val="20"/>
              </w:rPr>
            </w:pPr>
            <w:r w:rsidRPr="00583041">
              <w:rPr>
                <w:rFonts w:ascii="Arial" w:hAnsi="Arial" w:cs="Arial"/>
                <w:sz w:val="20"/>
                <w:szCs w:val="20"/>
              </w:rPr>
              <w:t>4. The aforesaid Master Direction No. 5, is being updated to reflect these changes.</w:t>
            </w:r>
          </w:p>
          <w:p w:rsidR="00583041" w:rsidRPr="00583041" w:rsidRDefault="00583041" w:rsidP="00583041">
            <w:pPr>
              <w:pStyle w:val="NormalWeb"/>
              <w:spacing w:before="0" w:beforeAutospacing="0"/>
              <w:rPr>
                <w:rFonts w:ascii="Arial" w:hAnsi="Arial" w:cs="Arial"/>
                <w:sz w:val="20"/>
                <w:szCs w:val="20"/>
              </w:rPr>
            </w:pPr>
            <w:r w:rsidRPr="00583041">
              <w:rPr>
                <w:rFonts w:ascii="Arial" w:hAnsi="Arial" w:cs="Arial"/>
                <w:sz w:val="20"/>
                <w:szCs w:val="20"/>
              </w:rPr>
              <w:t>5. Necessary amendments to the relevant regulations have been made through </w:t>
            </w:r>
            <w:r w:rsidRPr="00583041">
              <w:rPr>
                <w:rFonts w:ascii="Arial" w:hAnsi="Arial" w:cs="Arial"/>
                <w:sz w:val="20"/>
                <w:szCs w:val="20"/>
                <w:u w:val="single"/>
              </w:rPr>
              <w:t>the Foreign Exchange Management (Borrowing and Lending) (Amendment) Regulations, 2022, notified vide </w:t>
            </w:r>
            <w:hyperlink r:id="rId20" w:tgtFrame="_blank" w:history="1">
              <w:r w:rsidRPr="00583041">
                <w:rPr>
                  <w:rStyle w:val="Hyperlink"/>
                  <w:rFonts w:ascii="Arial" w:hAnsi="Arial" w:cs="Arial"/>
                  <w:sz w:val="20"/>
                  <w:szCs w:val="20"/>
                </w:rPr>
                <w:t>notification No. FEMA.3(R)(3)/2022-RB dated July 29, 2022</w:t>
              </w:r>
            </w:hyperlink>
            <w:r w:rsidRPr="00583041">
              <w:rPr>
                <w:rFonts w:ascii="Arial" w:hAnsi="Arial" w:cs="Arial"/>
                <w:sz w:val="20"/>
                <w:szCs w:val="20"/>
              </w:rPr>
              <w:t>.</w:t>
            </w:r>
          </w:p>
          <w:p w:rsidR="00583041" w:rsidRPr="00583041" w:rsidRDefault="00583041" w:rsidP="00583041">
            <w:pPr>
              <w:pStyle w:val="NormalWeb"/>
              <w:spacing w:before="0" w:beforeAutospacing="0"/>
              <w:rPr>
                <w:rFonts w:ascii="Arial" w:hAnsi="Arial" w:cs="Arial"/>
                <w:sz w:val="20"/>
                <w:szCs w:val="20"/>
              </w:rPr>
            </w:pPr>
            <w:r w:rsidRPr="00583041">
              <w:rPr>
                <w:rFonts w:ascii="Arial" w:hAnsi="Arial" w:cs="Arial"/>
                <w:sz w:val="20"/>
                <w:szCs w:val="20"/>
              </w:rPr>
              <w:t>6. The directions contained in this circular have been issued under section 10(4) and 11(2) of the Foreign Exchange Management Act, 1999 (42 of 1999) and are without prejudice to permissions/ approvals, if any, required under any other law.</w:t>
            </w:r>
          </w:p>
          <w:p w:rsidR="00583041" w:rsidRPr="00583041" w:rsidRDefault="00583041" w:rsidP="00F81595">
            <w:pPr>
              <w:pStyle w:val="NormalWeb"/>
              <w:spacing w:after="0" w:afterAutospacing="0"/>
              <w:rPr>
                <w:rFonts w:ascii="Arial" w:hAnsi="Arial" w:cs="Arial"/>
                <w:sz w:val="20"/>
                <w:szCs w:val="20"/>
              </w:rPr>
            </w:pPr>
            <w:r w:rsidRPr="00583041">
              <w:rPr>
                <w:rFonts w:ascii="Arial" w:hAnsi="Arial" w:cs="Arial"/>
                <w:sz w:val="20"/>
                <w:szCs w:val="20"/>
              </w:rPr>
              <w:t>Yours faithfully,</w:t>
            </w:r>
          </w:p>
          <w:p w:rsidR="00583041" w:rsidRPr="00583041" w:rsidRDefault="00583041" w:rsidP="00583041">
            <w:pPr>
              <w:pStyle w:val="NormalWeb"/>
              <w:rPr>
                <w:rFonts w:ascii="Arial" w:hAnsi="Arial" w:cs="Arial"/>
                <w:sz w:val="20"/>
                <w:szCs w:val="20"/>
              </w:rPr>
            </w:pPr>
            <w:r w:rsidRPr="00583041">
              <w:rPr>
                <w:rFonts w:ascii="Arial" w:hAnsi="Arial" w:cs="Arial"/>
                <w:sz w:val="20"/>
                <w:szCs w:val="20"/>
              </w:rPr>
              <w:t xml:space="preserve">(Ajay Kumar </w:t>
            </w:r>
            <w:proofErr w:type="spellStart"/>
            <w:r w:rsidRPr="00583041">
              <w:rPr>
                <w:rFonts w:ascii="Arial" w:hAnsi="Arial" w:cs="Arial"/>
                <w:sz w:val="20"/>
                <w:szCs w:val="20"/>
              </w:rPr>
              <w:t>Misra</w:t>
            </w:r>
            <w:proofErr w:type="spellEnd"/>
            <w:r w:rsidRPr="00583041">
              <w:rPr>
                <w:rFonts w:ascii="Arial" w:hAnsi="Arial" w:cs="Arial"/>
                <w:sz w:val="20"/>
                <w:szCs w:val="20"/>
              </w:rPr>
              <w:t>)</w:t>
            </w:r>
            <w:r w:rsidRPr="00583041">
              <w:rPr>
                <w:rFonts w:ascii="Arial" w:hAnsi="Arial" w:cs="Arial"/>
                <w:sz w:val="20"/>
                <w:szCs w:val="20"/>
              </w:rPr>
              <w:br/>
              <w:t>Chief General Manager-in-Charge</w:t>
            </w:r>
          </w:p>
        </w:tc>
      </w:tr>
    </w:tbl>
    <w:p w:rsidR="00583041" w:rsidRDefault="00583041" w:rsidP="00583041"/>
    <w:p w:rsidR="00CE14AF" w:rsidRDefault="00CE14AF" w:rsidP="00F81595">
      <w:pPr>
        <w:spacing w:after="0"/>
      </w:pPr>
      <w:r>
        <w:t>More details can be referred to in the below link.</w:t>
      </w:r>
    </w:p>
    <w:p w:rsidR="00CE14AF" w:rsidRDefault="00CE14AF" w:rsidP="00CE14AF">
      <w:pPr>
        <w:rPr>
          <w:rFonts w:ascii="Arial" w:hAnsi="Arial" w:cs="Arial"/>
          <w:sz w:val="20"/>
          <w:szCs w:val="20"/>
        </w:rPr>
      </w:pPr>
      <w:r>
        <w:rPr>
          <w:rFonts w:ascii="Arial" w:hAnsi="Arial" w:cs="Arial"/>
          <w:sz w:val="20"/>
          <w:szCs w:val="20"/>
        </w:rPr>
        <w:t xml:space="preserve">Reference Link: </w:t>
      </w:r>
      <w:hyperlink r:id="rId21" w:history="1">
        <w:r w:rsidRPr="00200311">
          <w:rPr>
            <w:rStyle w:val="Hyperlink"/>
            <w:rFonts w:ascii="Arial" w:hAnsi="Arial" w:cs="Arial"/>
            <w:sz w:val="20"/>
            <w:szCs w:val="20"/>
          </w:rPr>
          <w:t>https://www.rbi.org.in/Scripts/NotificationUser.aspx?Id=12366&amp;Mode=0</w:t>
        </w:r>
      </w:hyperlink>
    </w:p>
    <w:p w:rsidR="00CE14AF" w:rsidRDefault="00C754F7" w:rsidP="00CE14AF">
      <w:pPr>
        <w:rPr>
          <w:rFonts w:ascii="Arial" w:hAnsi="Arial" w:cs="Arial"/>
          <w:b/>
          <w:bCs/>
          <w:color w:val="000000"/>
          <w:sz w:val="20"/>
          <w:szCs w:val="20"/>
        </w:rPr>
      </w:pPr>
      <w:r>
        <w:rPr>
          <w:rFonts w:ascii="Arial" w:hAnsi="Arial" w:cs="Arial"/>
          <w:b/>
          <w:bCs/>
          <w:color w:val="000000"/>
          <w:sz w:val="20"/>
          <w:szCs w:val="20"/>
        </w:rPr>
        <w:lastRenderedPageBreak/>
        <w:t>Authorised Dealer Category-I License eligibility for Small Finance Banks</w:t>
      </w:r>
    </w:p>
    <w:p w:rsidR="00C754F7" w:rsidRDefault="00C754F7" w:rsidP="00C754F7">
      <w:pPr>
        <w:pStyle w:val="NormalWeb"/>
        <w:jc w:val="both"/>
        <w:rPr>
          <w:rFonts w:ascii="Arial" w:hAnsi="Arial" w:cs="Arial"/>
          <w:color w:val="000000"/>
          <w:sz w:val="20"/>
          <w:szCs w:val="20"/>
        </w:rPr>
      </w:pPr>
      <w:r>
        <w:rPr>
          <w:rFonts w:ascii="Arial" w:hAnsi="Arial" w:cs="Arial"/>
          <w:color w:val="000000"/>
          <w:sz w:val="20"/>
          <w:szCs w:val="20"/>
        </w:rPr>
        <w:t>RBI/2022-23/104</w:t>
      </w:r>
      <w:r>
        <w:rPr>
          <w:rFonts w:ascii="Arial" w:hAnsi="Arial" w:cs="Arial"/>
          <w:color w:val="000000"/>
          <w:sz w:val="20"/>
          <w:szCs w:val="20"/>
        </w:rPr>
        <w:br/>
        <w:t>DOR.LIC.REC.60/16.13.218/2022-23</w:t>
      </w:r>
    </w:p>
    <w:p w:rsidR="00C754F7" w:rsidRDefault="00C754F7" w:rsidP="00C754F7">
      <w:pPr>
        <w:pStyle w:val="NormalWeb"/>
        <w:jc w:val="right"/>
        <w:rPr>
          <w:rFonts w:ascii="Arial" w:hAnsi="Arial" w:cs="Arial"/>
          <w:color w:val="000000"/>
          <w:sz w:val="20"/>
          <w:szCs w:val="20"/>
        </w:rPr>
      </w:pPr>
      <w:r>
        <w:rPr>
          <w:rFonts w:ascii="Arial" w:hAnsi="Arial" w:cs="Arial"/>
          <w:color w:val="000000"/>
          <w:sz w:val="20"/>
          <w:szCs w:val="20"/>
        </w:rPr>
        <w:t>August 8, 2022</w:t>
      </w:r>
    </w:p>
    <w:p w:rsidR="00C754F7" w:rsidRDefault="00C754F7" w:rsidP="00C754F7">
      <w:pPr>
        <w:pStyle w:val="NormalWeb"/>
        <w:jc w:val="both"/>
        <w:rPr>
          <w:rFonts w:ascii="Arial" w:hAnsi="Arial" w:cs="Arial"/>
          <w:color w:val="000000"/>
          <w:sz w:val="20"/>
          <w:szCs w:val="20"/>
        </w:rPr>
      </w:pPr>
      <w:r>
        <w:rPr>
          <w:rFonts w:ascii="Arial" w:hAnsi="Arial" w:cs="Arial"/>
          <w:color w:val="000000"/>
          <w:sz w:val="20"/>
          <w:szCs w:val="20"/>
        </w:rPr>
        <w:t>Managing Director and Chief Executive Officers of Small Finance Banks</w:t>
      </w:r>
    </w:p>
    <w:p w:rsidR="00C754F7" w:rsidRDefault="00C754F7" w:rsidP="00C754F7">
      <w:pPr>
        <w:pStyle w:val="NormalWeb"/>
        <w:jc w:val="both"/>
        <w:rPr>
          <w:rFonts w:ascii="Arial" w:hAnsi="Arial" w:cs="Arial"/>
          <w:color w:val="000000"/>
          <w:sz w:val="20"/>
          <w:szCs w:val="20"/>
        </w:rPr>
      </w:pPr>
      <w:r>
        <w:rPr>
          <w:rFonts w:ascii="Arial" w:hAnsi="Arial" w:cs="Arial"/>
          <w:color w:val="000000"/>
          <w:sz w:val="20"/>
          <w:szCs w:val="20"/>
        </w:rPr>
        <w:t>Madam/ Dear Sir,</w:t>
      </w:r>
    </w:p>
    <w:p w:rsidR="00C754F7" w:rsidRDefault="00C754F7" w:rsidP="00C754F7">
      <w:pPr>
        <w:pStyle w:val="head"/>
        <w:jc w:val="both"/>
        <w:rPr>
          <w:rFonts w:ascii="Arial" w:hAnsi="Arial" w:cs="Arial"/>
          <w:b/>
          <w:bCs/>
          <w:color w:val="000000"/>
          <w:sz w:val="20"/>
          <w:szCs w:val="20"/>
        </w:rPr>
      </w:pPr>
      <w:r>
        <w:rPr>
          <w:rFonts w:ascii="Arial" w:hAnsi="Arial" w:cs="Arial"/>
          <w:b/>
          <w:bCs/>
          <w:color w:val="000000"/>
          <w:sz w:val="20"/>
          <w:szCs w:val="20"/>
        </w:rPr>
        <w:t>Authorised Dealer Category-I License eligibility for Small Finance Banks</w:t>
      </w:r>
    </w:p>
    <w:p w:rsidR="00C754F7" w:rsidRDefault="00C754F7" w:rsidP="00C754F7">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22" w:tgtFrame="_blank" w:history="1">
        <w:r>
          <w:rPr>
            <w:rStyle w:val="Hyperlink"/>
            <w:rFonts w:ascii="Arial" w:hAnsi="Arial" w:cs="Arial"/>
            <w:sz w:val="20"/>
            <w:szCs w:val="20"/>
          </w:rPr>
          <w:t>‘Guidelines for Licensing of Small Finance Banks in Private Sector’ dated November 27, 2014</w:t>
        </w:r>
      </w:hyperlink>
      <w:r>
        <w:rPr>
          <w:rFonts w:ascii="Arial" w:hAnsi="Arial" w:cs="Arial"/>
          <w:color w:val="000000"/>
          <w:sz w:val="20"/>
          <w:szCs w:val="20"/>
        </w:rPr>
        <w:t> and the </w:t>
      </w:r>
      <w:hyperlink r:id="rId23" w:tgtFrame="_blank" w:history="1">
        <w:r>
          <w:rPr>
            <w:rStyle w:val="Hyperlink"/>
            <w:rFonts w:ascii="Arial" w:hAnsi="Arial" w:cs="Arial"/>
            <w:sz w:val="20"/>
            <w:szCs w:val="20"/>
          </w:rPr>
          <w:t>‘Guidelines for ‘on-tap’ Licensing of Small Finance Banks in Private Sector’ released by Reserve Bank on December 5, 2019</w:t>
        </w:r>
      </w:hyperlink>
      <w:r>
        <w:rPr>
          <w:rFonts w:ascii="Arial" w:hAnsi="Arial" w:cs="Arial"/>
          <w:color w:val="000000"/>
          <w:sz w:val="20"/>
          <w:szCs w:val="20"/>
        </w:rPr>
        <w:t>.</w:t>
      </w:r>
    </w:p>
    <w:p w:rsidR="00C754F7" w:rsidRDefault="00C754F7" w:rsidP="00C754F7">
      <w:pPr>
        <w:pStyle w:val="NormalWeb"/>
        <w:jc w:val="both"/>
        <w:rPr>
          <w:rFonts w:ascii="Arial" w:hAnsi="Arial" w:cs="Arial"/>
          <w:color w:val="000000"/>
          <w:sz w:val="20"/>
          <w:szCs w:val="20"/>
        </w:rPr>
      </w:pPr>
      <w:r>
        <w:rPr>
          <w:rFonts w:ascii="Arial" w:hAnsi="Arial" w:cs="Arial"/>
          <w:color w:val="000000"/>
          <w:sz w:val="20"/>
          <w:szCs w:val="20"/>
        </w:rPr>
        <w:t>2. In terms of paragraph 4 of the aforesaid Licensing Guidelines, a small finance bank (SFB) can also become Authorised Dealer Category-II in foreign exchange business for its clients’ requirements.</w:t>
      </w:r>
    </w:p>
    <w:p w:rsidR="00C754F7" w:rsidRDefault="00C754F7" w:rsidP="00C754F7">
      <w:pPr>
        <w:pStyle w:val="NormalWeb"/>
        <w:jc w:val="both"/>
        <w:rPr>
          <w:rFonts w:ascii="Arial" w:hAnsi="Arial" w:cs="Arial"/>
          <w:color w:val="000000"/>
          <w:sz w:val="20"/>
          <w:szCs w:val="20"/>
        </w:rPr>
      </w:pPr>
      <w:r>
        <w:rPr>
          <w:rFonts w:ascii="Arial" w:hAnsi="Arial" w:cs="Arial"/>
          <w:color w:val="000000"/>
          <w:sz w:val="20"/>
          <w:szCs w:val="20"/>
        </w:rPr>
        <w:t>3. With the objective of giving more flexibility to SFBs to meet their customers’ foreign exchange business requirement, it has been decided that all the scheduled SFBs, after completion of at least two years of operations as Authorised Dealer Category-II, will be eligible for Authorised Dealer Category-I license, subject to compliance with the eligibility norms given in the </w:t>
      </w:r>
      <w:hyperlink r:id="rId24" w:anchor="AN1" w:history="1">
        <w:r>
          <w:rPr>
            <w:rStyle w:val="Hyperlink"/>
            <w:rFonts w:ascii="Arial" w:hAnsi="Arial" w:cs="Arial"/>
            <w:sz w:val="20"/>
            <w:szCs w:val="20"/>
          </w:rPr>
          <w:t>Annex-I</w:t>
        </w:r>
      </w:hyperlink>
      <w:r>
        <w:rPr>
          <w:rFonts w:ascii="Arial" w:hAnsi="Arial" w:cs="Arial"/>
          <w:color w:val="000000"/>
          <w:sz w:val="20"/>
          <w:szCs w:val="20"/>
        </w:rPr>
        <w:t>. The eligible SFBs may approach Foreign Exchange Department, Central Office, Reserve Bank of India with their applications along with the supporting documents with regard to their eligibility and requisite documents as specified in </w:t>
      </w:r>
      <w:hyperlink r:id="rId25" w:anchor="AN2" w:history="1">
        <w:r>
          <w:rPr>
            <w:rStyle w:val="Hyperlink"/>
            <w:rFonts w:ascii="Arial" w:hAnsi="Arial" w:cs="Arial"/>
            <w:sz w:val="20"/>
            <w:szCs w:val="20"/>
          </w:rPr>
          <w:t>Annex-II</w:t>
        </w:r>
      </w:hyperlink>
      <w:r>
        <w:rPr>
          <w:rFonts w:ascii="Arial" w:hAnsi="Arial" w:cs="Arial"/>
          <w:color w:val="000000"/>
          <w:sz w:val="20"/>
          <w:szCs w:val="20"/>
        </w:rPr>
        <w:t> for grant of Authorised Dealer Category-I license.</w:t>
      </w:r>
    </w:p>
    <w:p w:rsidR="00C754F7" w:rsidRDefault="00C754F7" w:rsidP="00C754F7">
      <w:pPr>
        <w:pStyle w:val="NormalWeb"/>
        <w:jc w:val="both"/>
        <w:rPr>
          <w:rFonts w:ascii="Arial" w:hAnsi="Arial" w:cs="Arial"/>
          <w:color w:val="000000"/>
          <w:sz w:val="20"/>
          <w:szCs w:val="20"/>
        </w:rPr>
      </w:pPr>
      <w:r>
        <w:rPr>
          <w:rFonts w:ascii="Arial" w:hAnsi="Arial" w:cs="Arial"/>
          <w:color w:val="000000"/>
          <w:sz w:val="20"/>
          <w:szCs w:val="20"/>
        </w:rPr>
        <w:t>4. The other terms and conditions of the Licensing Guidelines remain unchanged.</w:t>
      </w:r>
    </w:p>
    <w:p w:rsidR="00C754F7" w:rsidRDefault="00C754F7" w:rsidP="00C754F7">
      <w:pPr>
        <w:pStyle w:val="NormalWeb"/>
        <w:jc w:val="both"/>
        <w:rPr>
          <w:rFonts w:ascii="Arial" w:hAnsi="Arial" w:cs="Arial"/>
          <w:color w:val="000000"/>
          <w:sz w:val="20"/>
          <w:szCs w:val="20"/>
        </w:rPr>
      </w:pPr>
      <w:r>
        <w:rPr>
          <w:rFonts w:ascii="Arial" w:hAnsi="Arial" w:cs="Arial"/>
          <w:color w:val="000000"/>
          <w:sz w:val="20"/>
          <w:szCs w:val="20"/>
        </w:rPr>
        <w:t>Yours faithfully,</w:t>
      </w:r>
    </w:p>
    <w:p w:rsidR="00C754F7" w:rsidRDefault="00C754F7" w:rsidP="00C754F7">
      <w:pPr>
        <w:pStyle w:val="NormalWeb"/>
        <w:rPr>
          <w:rFonts w:ascii="Arial" w:hAnsi="Arial" w:cs="Arial"/>
          <w:color w:val="000000"/>
          <w:sz w:val="20"/>
          <w:szCs w:val="20"/>
        </w:rPr>
      </w:pPr>
      <w:r>
        <w:rPr>
          <w:rFonts w:ascii="Arial" w:hAnsi="Arial" w:cs="Arial"/>
          <w:color w:val="000000"/>
          <w:sz w:val="20"/>
          <w:szCs w:val="20"/>
        </w:rPr>
        <w:t xml:space="preserve">(Prakash </w:t>
      </w:r>
      <w:proofErr w:type="spellStart"/>
      <w:r>
        <w:rPr>
          <w:rFonts w:ascii="Arial" w:hAnsi="Arial" w:cs="Arial"/>
          <w:color w:val="000000"/>
          <w:sz w:val="20"/>
          <w:szCs w:val="20"/>
        </w:rPr>
        <w:t>Baliarsingh</w:t>
      </w:r>
      <w:proofErr w:type="spellEnd"/>
      <w:r>
        <w:rPr>
          <w:rFonts w:ascii="Arial" w:hAnsi="Arial" w:cs="Arial"/>
          <w:color w:val="000000"/>
          <w:sz w:val="20"/>
          <w:szCs w:val="20"/>
        </w:rPr>
        <w:t>)</w:t>
      </w:r>
      <w:r>
        <w:rPr>
          <w:rFonts w:ascii="Arial" w:hAnsi="Arial" w:cs="Arial"/>
          <w:color w:val="000000"/>
          <w:sz w:val="20"/>
          <w:szCs w:val="20"/>
        </w:rPr>
        <w:br/>
        <w:t>Chief General Manager</w:t>
      </w:r>
    </w:p>
    <w:p w:rsidR="00C754F7" w:rsidRDefault="00C754F7" w:rsidP="00CE14AF"/>
    <w:p w:rsidR="00C754F7" w:rsidRDefault="00C754F7" w:rsidP="00CE14AF"/>
    <w:p w:rsidR="00C754F7" w:rsidRDefault="00C754F7" w:rsidP="00C754F7">
      <w:r>
        <w:t>More details can be referred to in the below link.</w:t>
      </w:r>
    </w:p>
    <w:p w:rsidR="00C754F7" w:rsidRDefault="00C754F7" w:rsidP="00C754F7">
      <w:pPr>
        <w:rPr>
          <w:rFonts w:ascii="Arial" w:hAnsi="Arial" w:cs="Arial"/>
          <w:sz w:val="20"/>
          <w:szCs w:val="20"/>
        </w:rPr>
      </w:pPr>
      <w:r>
        <w:rPr>
          <w:rFonts w:ascii="Arial" w:hAnsi="Arial" w:cs="Arial"/>
          <w:sz w:val="20"/>
          <w:szCs w:val="20"/>
        </w:rPr>
        <w:t xml:space="preserve">Reference Link: </w:t>
      </w:r>
      <w:hyperlink r:id="rId26" w:anchor=":~:text=It%20should%20have%20a%20minimum,in%20the%20preceding%20two%20years" w:history="1">
        <w:r w:rsidRPr="00200311">
          <w:rPr>
            <w:rStyle w:val="Hyperlink"/>
            <w:rFonts w:ascii="Arial" w:hAnsi="Arial" w:cs="Arial"/>
            <w:sz w:val="20"/>
            <w:szCs w:val="20"/>
          </w:rPr>
          <w:t>https://www.rbi.org.in/scripts/NotificationUser.aspx?Id=12373&amp;Mode=0#:~:text=It%20should%20have%20a%20minimum,in%20the%20preceding%20two%20years</w:t>
        </w:r>
      </w:hyperlink>
      <w:r w:rsidRPr="00C754F7">
        <w:rPr>
          <w:rFonts w:ascii="Arial" w:hAnsi="Arial" w:cs="Arial"/>
          <w:sz w:val="20"/>
          <w:szCs w:val="20"/>
        </w:rPr>
        <w:t>.</w:t>
      </w:r>
    </w:p>
    <w:p w:rsidR="00C754F7" w:rsidRDefault="00C754F7" w:rsidP="00C754F7"/>
    <w:p w:rsidR="00C754F7" w:rsidRDefault="00C754F7" w:rsidP="00C754F7"/>
    <w:p w:rsidR="00C754F7" w:rsidRDefault="00C754F7" w:rsidP="00C754F7"/>
    <w:p w:rsidR="00C754F7" w:rsidRDefault="00C754F7" w:rsidP="00C754F7"/>
    <w:p w:rsidR="00C754F7" w:rsidRDefault="00C754F7" w:rsidP="00C754F7"/>
    <w:p w:rsidR="00C754F7" w:rsidRDefault="00C754F7" w:rsidP="00C754F7"/>
    <w:p w:rsidR="00C754F7" w:rsidRDefault="00C754F7" w:rsidP="00C754F7"/>
    <w:p w:rsidR="00C754F7" w:rsidRDefault="005D5DB2" w:rsidP="00C754F7">
      <w:pPr>
        <w:rPr>
          <w:rFonts w:ascii="Arial" w:hAnsi="Arial" w:cs="Arial"/>
          <w:b/>
          <w:bCs/>
          <w:color w:val="000000"/>
          <w:sz w:val="20"/>
          <w:szCs w:val="20"/>
        </w:rPr>
      </w:pPr>
      <w:r>
        <w:rPr>
          <w:rFonts w:ascii="Arial" w:hAnsi="Arial" w:cs="Arial"/>
          <w:b/>
          <w:bCs/>
          <w:color w:val="000000"/>
          <w:sz w:val="20"/>
          <w:szCs w:val="20"/>
        </w:rPr>
        <w:lastRenderedPageBreak/>
        <w:t>Rupee Interest Rate Derivatives (Reserve Bank) Directions – Review</w:t>
      </w:r>
    </w:p>
    <w:p w:rsidR="005D5DB2" w:rsidRDefault="005D5DB2" w:rsidP="005D5DB2">
      <w:pPr>
        <w:pStyle w:val="NormalWeb"/>
        <w:jc w:val="both"/>
        <w:rPr>
          <w:rFonts w:ascii="Arial" w:hAnsi="Arial" w:cs="Arial"/>
          <w:color w:val="000000"/>
          <w:sz w:val="20"/>
          <w:szCs w:val="20"/>
        </w:rPr>
      </w:pPr>
      <w:r>
        <w:rPr>
          <w:rFonts w:ascii="Arial" w:hAnsi="Arial" w:cs="Arial"/>
          <w:color w:val="000000"/>
          <w:sz w:val="20"/>
          <w:szCs w:val="20"/>
        </w:rPr>
        <w:t>RBI/2022-23/105</w:t>
      </w:r>
      <w:r>
        <w:rPr>
          <w:rFonts w:ascii="Arial" w:hAnsi="Arial" w:cs="Arial"/>
          <w:color w:val="000000"/>
          <w:sz w:val="20"/>
          <w:szCs w:val="20"/>
        </w:rPr>
        <w:br/>
        <w:t>FMRD.DIRD.05/14.03.046/2022-23</w:t>
      </w:r>
    </w:p>
    <w:p w:rsidR="005D5DB2" w:rsidRDefault="005D5DB2" w:rsidP="005D5DB2">
      <w:pPr>
        <w:pStyle w:val="NormalWeb"/>
        <w:jc w:val="right"/>
        <w:rPr>
          <w:rFonts w:ascii="Arial" w:hAnsi="Arial" w:cs="Arial"/>
          <w:color w:val="000000"/>
          <w:sz w:val="20"/>
          <w:szCs w:val="20"/>
        </w:rPr>
      </w:pPr>
      <w:r>
        <w:rPr>
          <w:rFonts w:ascii="Arial" w:hAnsi="Arial" w:cs="Arial"/>
          <w:color w:val="000000"/>
          <w:sz w:val="20"/>
          <w:szCs w:val="20"/>
        </w:rPr>
        <w:t>August 08, 2022</w:t>
      </w:r>
    </w:p>
    <w:p w:rsidR="005D5DB2" w:rsidRDefault="005D5DB2" w:rsidP="005D5DB2">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To,</w:t>
      </w:r>
    </w:p>
    <w:p w:rsidR="005D5DB2" w:rsidRDefault="005D5DB2" w:rsidP="005D5DB2">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All Eligible Market Participants</w:t>
      </w:r>
    </w:p>
    <w:p w:rsidR="005D5DB2" w:rsidRDefault="005D5DB2" w:rsidP="005D5DB2">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Madam / Sir,</w:t>
      </w:r>
    </w:p>
    <w:p w:rsidR="005D5DB2" w:rsidRDefault="005D5DB2" w:rsidP="005D5DB2">
      <w:pPr>
        <w:pStyle w:val="head"/>
        <w:jc w:val="center"/>
        <w:rPr>
          <w:rFonts w:ascii="Arial" w:hAnsi="Arial" w:cs="Arial"/>
          <w:b/>
          <w:bCs/>
          <w:color w:val="000000"/>
          <w:sz w:val="20"/>
          <w:szCs w:val="20"/>
        </w:rPr>
      </w:pPr>
      <w:r>
        <w:rPr>
          <w:rFonts w:ascii="Arial" w:hAnsi="Arial" w:cs="Arial"/>
          <w:b/>
          <w:bCs/>
          <w:color w:val="000000"/>
          <w:sz w:val="20"/>
          <w:szCs w:val="20"/>
        </w:rPr>
        <w:t>Rupee Interest Rate Derivatives (Reserve Bank) Directions - Review</w:t>
      </w:r>
    </w:p>
    <w:p w:rsidR="005D5DB2" w:rsidRDefault="005D5DB2" w:rsidP="005D5DB2">
      <w:pPr>
        <w:pStyle w:val="NormalWeb"/>
        <w:jc w:val="both"/>
        <w:rPr>
          <w:rFonts w:ascii="Arial" w:hAnsi="Arial" w:cs="Arial"/>
          <w:color w:val="000000"/>
          <w:sz w:val="20"/>
          <w:szCs w:val="20"/>
        </w:rPr>
      </w:pPr>
      <w:r>
        <w:rPr>
          <w:rFonts w:ascii="Arial" w:hAnsi="Arial" w:cs="Arial"/>
          <w:color w:val="000000"/>
          <w:sz w:val="20"/>
          <w:szCs w:val="20"/>
        </w:rPr>
        <w:t>Please refer to Paragraph 4 of the </w:t>
      </w:r>
      <w:hyperlink r:id="rId27" w:tgtFrame="_blank" w:history="1">
        <w:r>
          <w:rPr>
            <w:rStyle w:val="Hyperlink"/>
            <w:rFonts w:ascii="Arial" w:hAnsi="Arial" w:cs="Arial"/>
            <w:sz w:val="20"/>
            <w:szCs w:val="20"/>
          </w:rPr>
          <w:t>Statement on Developmental and Regulatory Policies</w:t>
        </w:r>
      </w:hyperlink>
      <w:r>
        <w:rPr>
          <w:rFonts w:ascii="Arial" w:hAnsi="Arial" w:cs="Arial"/>
          <w:color w:val="000000"/>
          <w:sz w:val="20"/>
          <w:szCs w:val="20"/>
        </w:rPr>
        <w:t>, issued as a part of the </w:t>
      </w:r>
      <w:hyperlink r:id="rId28" w:tgtFrame="_blank" w:history="1">
        <w:r>
          <w:rPr>
            <w:rStyle w:val="Hyperlink"/>
            <w:rFonts w:ascii="Arial" w:hAnsi="Arial" w:cs="Arial"/>
            <w:sz w:val="20"/>
            <w:szCs w:val="20"/>
          </w:rPr>
          <w:t>Bi-monthly Monetary Policy Statement for 2022-23 dated August 05, 2022</w:t>
        </w:r>
      </w:hyperlink>
      <w:r>
        <w:rPr>
          <w:rFonts w:ascii="Arial" w:hAnsi="Arial" w:cs="Arial"/>
          <w:color w:val="000000"/>
          <w:sz w:val="20"/>
          <w:szCs w:val="20"/>
        </w:rPr>
        <w:t> regarding permitting stand-alone primary dealers (SPDs) in India to deal in Foreign Currency Settled Overnight Indexed Swaps (FCS-OIS). Attention is also invited to the </w:t>
      </w:r>
      <w:hyperlink r:id="rId29" w:tgtFrame="_blank" w:history="1">
        <w:r>
          <w:rPr>
            <w:rStyle w:val="Hyperlink"/>
            <w:rFonts w:ascii="Arial" w:hAnsi="Arial" w:cs="Arial"/>
            <w:sz w:val="20"/>
            <w:szCs w:val="20"/>
          </w:rPr>
          <w:t>Rupee Interest Rate Derivatives (Reserve Bank) Directions, 2019 dated June 26, 2019</w:t>
        </w:r>
      </w:hyperlink>
      <w:r>
        <w:rPr>
          <w:rFonts w:ascii="Arial" w:hAnsi="Arial" w:cs="Arial"/>
          <w:color w:val="000000"/>
          <w:sz w:val="20"/>
          <w:szCs w:val="20"/>
        </w:rPr>
        <w:t>, as amended from time to time (hereinafter, Directions).</w:t>
      </w:r>
    </w:p>
    <w:p w:rsidR="005D5DB2" w:rsidRDefault="005D5DB2" w:rsidP="005D5DB2">
      <w:pPr>
        <w:pStyle w:val="NormalWeb"/>
        <w:jc w:val="both"/>
        <w:rPr>
          <w:rFonts w:ascii="Arial" w:hAnsi="Arial" w:cs="Arial"/>
          <w:color w:val="000000"/>
          <w:sz w:val="20"/>
          <w:szCs w:val="20"/>
        </w:rPr>
      </w:pPr>
      <w:r>
        <w:rPr>
          <w:rFonts w:ascii="Arial" w:hAnsi="Arial" w:cs="Arial"/>
          <w:color w:val="000000"/>
          <w:sz w:val="20"/>
          <w:szCs w:val="20"/>
        </w:rPr>
        <w:t>2. Banks in India having Authorised Dealer Category-I (AD Cat-I) license under FEMA, 1999 have been permitted under the above Directions to offer FCS-OIS to persons not resident in India as well as to other AD Cat-I banks vide </w:t>
      </w:r>
      <w:hyperlink r:id="rId30" w:tgtFrame="_blank" w:history="1">
        <w:r>
          <w:rPr>
            <w:rStyle w:val="Hyperlink"/>
            <w:rFonts w:ascii="Arial" w:hAnsi="Arial" w:cs="Arial"/>
            <w:sz w:val="20"/>
            <w:szCs w:val="20"/>
          </w:rPr>
          <w:t>circular FMRD.DIRD.12/14.03.046/2021-22 dated February 10, 2022</w:t>
        </w:r>
      </w:hyperlink>
      <w:r>
        <w:rPr>
          <w:rFonts w:ascii="Arial" w:hAnsi="Arial" w:cs="Arial"/>
          <w:color w:val="000000"/>
          <w:sz w:val="20"/>
          <w:szCs w:val="20"/>
        </w:rPr>
        <w:t>. On a review, it has been decided that SPDs, authorized under section 10(1) of FEMA, 1999 shall also be eligible to offer FCS-OIS to persons not resident in India as well as to other AD Cat-I banks and eligible SPDs.</w:t>
      </w:r>
    </w:p>
    <w:p w:rsidR="005D5DB2" w:rsidRDefault="005D5DB2" w:rsidP="005D5DB2">
      <w:pPr>
        <w:pStyle w:val="NormalWeb"/>
        <w:jc w:val="both"/>
        <w:rPr>
          <w:rFonts w:ascii="Arial" w:hAnsi="Arial" w:cs="Arial"/>
          <w:color w:val="000000"/>
          <w:sz w:val="20"/>
          <w:szCs w:val="20"/>
        </w:rPr>
      </w:pPr>
      <w:r>
        <w:rPr>
          <w:rFonts w:ascii="Arial" w:hAnsi="Arial" w:cs="Arial"/>
          <w:color w:val="000000"/>
          <w:sz w:val="20"/>
          <w:szCs w:val="20"/>
        </w:rPr>
        <w:t>3. The instructions shall be applicable with immediate effect. The </w:t>
      </w:r>
      <w:hyperlink r:id="rId31" w:tgtFrame="_blank" w:history="1">
        <w:r>
          <w:rPr>
            <w:rStyle w:val="Hyperlink"/>
            <w:rFonts w:ascii="Arial" w:hAnsi="Arial" w:cs="Arial"/>
            <w:sz w:val="20"/>
            <w:szCs w:val="20"/>
          </w:rPr>
          <w:t>updated Directions</w:t>
        </w:r>
      </w:hyperlink>
      <w:r>
        <w:rPr>
          <w:rFonts w:ascii="Arial" w:hAnsi="Arial" w:cs="Arial"/>
          <w:color w:val="000000"/>
          <w:sz w:val="20"/>
          <w:szCs w:val="20"/>
        </w:rPr>
        <w:t> are attached.</w:t>
      </w:r>
    </w:p>
    <w:p w:rsidR="005D5DB2" w:rsidRDefault="005D5DB2" w:rsidP="005D5DB2">
      <w:pPr>
        <w:pStyle w:val="NormalWeb"/>
        <w:rPr>
          <w:rFonts w:ascii="Arial" w:hAnsi="Arial" w:cs="Arial"/>
          <w:color w:val="000000"/>
          <w:sz w:val="20"/>
          <w:szCs w:val="20"/>
        </w:rPr>
      </w:pPr>
      <w:r>
        <w:rPr>
          <w:rFonts w:ascii="Arial" w:hAnsi="Arial" w:cs="Arial"/>
          <w:color w:val="000000"/>
          <w:sz w:val="20"/>
          <w:szCs w:val="20"/>
        </w:rPr>
        <w:t>4. The instructions contained in this circular have been issued in exercise of the powers conferred under section 45W of the Reserve Bank of India Act, 1934 read with section 45U of the Act and of all the powers enabling it in this behalf.</w:t>
      </w:r>
    </w:p>
    <w:p w:rsidR="005D5DB2" w:rsidRDefault="005D5DB2" w:rsidP="005D5DB2">
      <w:pPr>
        <w:pStyle w:val="NormalWeb"/>
        <w:rPr>
          <w:rFonts w:ascii="Arial" w:hAnsi="Arial" w:cs="Arial"/>
          <w:color w:val="000000"/>
          <w:sz w:val="20"/>
          <w:szCs w:val="20"/>
        </w:rPr>
      </w:pPr>
      <w:r>
        <w:rPr>
          <w:rFonts w:ascii="Arial" w:hAnsi="Arial" w:cs="Arial"/>
          <w:color w:val="000000"/>
          <w:sz w:val="20"/>
          <w:szCs w:val="20"/>
        </w:rPr>
        <w:t>Yours faithfully,</w:t>
      </w:r>
    </w:p>
    <w:p w:rsidR="005D5DB2" w:rsidRDefault="005D5DB2" w:rsidP="005D5DB2">
      <w:pPr>
        <w:pStyle w:val="NormalWeb"/>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rsidR="005D5DB2" w:rsidRDefault="005D5DB2" w:rsidP="00C754F7"/>
    <w:p w:rsidR="005D5DB2" w:rsidRDefault="005D5DB2" w:rsidP="00C754F7"/>
    <w:p w:rsidR="005D5DB2" w:rsidRDefault="005D5DB2" w:rsidP="00C754F7"/>
    <w:p w:rsidR="005D5DB2" w:rsidRDefault="005D5DB2" w:rsidP="00C754F7"/>
    <w:p w:rsidR="005D5DB2" w:rsidRDefault="005D5DB2" w:rsidP="005D5DB2">
      <w:r>
        <w:t>More details can be referred to in the below link.</w:t>
      </w:r>
    </w:p>
    <w:p w:rsidR="005D5DB2" w:rsidRDefault="005D5DB2" w:rsidP="005D5DB2">
      <w:pPr>
        <w:rPr>
          <w:rFonts w:ascii="Arial" w:hAnsi="Arial" w:cs="Arial"/>
          <w:sz w:val="20"/>
          <w:szCs w:val="20"/>
        </w:rPr>
      </w:pPr>
      <w:r>
        <w:rPr>
          <w:rFonts w:ascii="Arial" w:hAnsi="Arial" w:cs="Arial"/>
          <w:sz w:val="20"/>
          <w:szCs w:val="20"/>
        </w:rPr>
        <w:t xml:space="preserve">Reference Link: </w:t>
      </w:r>
      <w:hyperlink r:id="rId32" w:history="1">
        <w:r w:rsidRPr="00200311">
          <w:rPr>
            <w:rStyle w:val="Hyperlink"/>
            <w:rFonts w:ascii="Arial" w:hAnsi="Arial" w:cs="Arial"/>
            <w:sz w:val="20"/>
            <w:szCs w:val="20"/>
          </w:rPr>
          <w:t>https://m.rbi.org.in/scripts/FS_Notification.aspx?Id=12374&amp;fn=6&amp;Mode=0</w:t>
        </w:r>
      </w:hyperlink>
    </w:p>
    <w:p w:rsidR="005D5DB2" w:rsidRDefault="005D5DB2" w:rsidP="005D5DB2">
      <w:pPr>
        <w:rPr>
          <w:rFonts w:ascii="Arial" w:hAnsi="Arial" w:cs="Arial"/>
          <w:sz w:val="20"/>
          <w:szCs w:val="20"/>
        </w:rPr>
      </w:pPr>
    </w:p>
    <w:p w:rsidR="005D5DB2" w:rsidRDefault="005D5DB2" w:rsidP="005D5DB2">
      <w:pPr>
        <w:rPr>
          <w:rFonts w:ascii="Arial" w:hAnsi="Arial" w:cs="Arial"/>
          <w:sz w:val="20"/>
          <w:szCs w:val="20"/>
        </w:rPr>
      </w:pPr>
    </w:p>
    <w:p w:rsidR="005D5DB2" w:rsidRDefault="005D5DB2" w:rsidP="005D5DB2">
      <w:pPr>
        <w:rPr>
          <w:rFonts w:ascii="Arial" w:hAnsi="Arial" w:cs="Arial"/>
          <w:sz w:val="20"/>
          <w:szCs w:val="20"/>
        </w:rPr>
      </w:pPr>
    </w:p>
    <w:p w:rsidR="005D5DB2" w:rsidRDefault="005D5DB2" w:rsidP="005D5DB2">
      <w:pPr>
        <w:rPr>
          <w:rFonts w:ascii="Arial" w:hAnsi="Arial" w:cs="Arial"/>
          <w:sz w:val="20"/>
          <w:szCs w:val="20"/>
        </w:rPr>
      </w:pPr>
    </w:p>
    <w:p w:rsidR="005D5DB2" w:rsidRDefault="005D5DB2" w:rsidP="005D5DB2">
      <w:pPr>
        <w:rPr>
          <w:rFonts w:ascii="Arial" w:hAnsi="Arial" w:cs="Arial"/>
          <w:sz w:val="20"/>
          <w:szCs w:val="20"/>
        </w:rPr>
      </w:pPr>
    </w:p>
    <w:p w:rsidR="005D5DB2" w:rsidRDefault="005D5DB2" w:rsidP="005D5DB2">
      <w:pPr>
        <w:rPr>
          <w:rFonts w:ascii="Arial" w:hAnsi="Arial" w:cs="Arial"/>
          <w:b/>
          <w:bCs/>
          <w:color w:val="000000"/>
          <w:sz w:val="20"/>
          <w:szCs w:val="20"/>
        </w:rPr>
      </w:pPr>
      <w:r>
        <w:rPr>
          <w:rFonts w:ascii="Arial" w:hAnsi="Arial" w:cs="Arial"/>
          <w:b/>
          <w:bCs/>
          <w:color w:val="000000"/>
          <w:sz w:val="20"/>
          <w:szCs w:val="20"/>
        </w:rPr>
        <w:lastRenderedPageBreak/>
        <w:t>Foreign Exchange Management (Overseas Investment) Regulations, 2022</w:t>
      </w:r>
    </w:p>
    <w:p w:rsidR="005D5DB2" w:rsidRDefault="005D5DB2" w:rsidP="005D5DB2">
      <w:pPr>
        <w:pStyle w:val="head"/>
        <w:jc w:val="both"/>
        <w:rPr>
          <w:rFonts w:ascii="Arial" w:hAnsi="Arial" w:cs="Arial"/>
          <w:b/>
          <w:bCs/>
          <w:color w:val="000000"/>
          <w:sz w:val="20"/>
          <w:szCs w:val="20"/>
        </w:rPr>
      </w:pPr>
      <w:r>
        <w:rPr>
          <w:rFonts w:ascii="Arial" w:hAnsi="Arial" w:cs="Arial"/>
          <w:b/>
          <w:bCs/>
          <w:color w:val="000000"/>
          <w:sz w:val="20"/>
          <w:szCs w:val="20"/>
        </w:rPr>
        <w:t>No. FEMA 400/2022-RB</w:t>
      </w:r>
    </w:p>
    <w:p w:rsidR="005D5DB2" w:rsidRDefault="005D5DB2" w:rsidP="005D5DB2">
      <w:pPr>
        <w:pStyle w:val="head"/>
        <w:jc w:val="right"/>
        <w:rPr>
          <w:rFonts w:ascii="Arial" w:hAnsi="Arial" w:cs="Arial"/>
          <w:b/>
          <w:bCs/>
          <w:color w:val="000000"/>
          <w:sz w:val="20"/>
          <w:szCs w:val="20"/>
        </w:rPr>
      </w:pPr>
      <w:r>
        <w:rPr>
          <w:rFonts w:ascii="Arial" w:hAnsi="Arial" w:cs="Arial"/>
          <w:b/>
          <w:bCs/>
          <w:color w:val="000000"/>
          <w:sz w:val="20"/>
          <w:szCs w:val="20"/>
        </w:rPr>
        <w:t>August 22, 2022</w:t>
      </w:r>
    </w:p>
    <w:p w:rsidR="005D5DB2" w:rsidRDefault="005D5DB2" w:rsidP="005D5DB2">
      <w:pPr>
        <w:pStyle w:val="head"/>
        <w:jc w:val="center"/>
        <w:rPr>
          <w:rFonts w:ascii="Arial" w:hAnsi="Arial" w:cs="Arial"/>
          <w:b/>
          <w:bCs/>
          <w:color w:val="000000"/>
          <w:sz w:val="20"/>
          <w:szCs w:val="20"/>
        </w:rPr>
      </w:pPr>
      <w:r>
        <w:rPr>
          <w:rFonts w:ascii="Arial" w:hAnsi="Arial" w:cs="Arial"/>
          <w:b/>
          <w:bCs/>
          <w:color w:val="000000"/>
          <w:sz w:val="20"/>
          <w:szCs w:val="20"/>
        </w:rPr>
        <w:t>Foreign Exchange Management (Overseas Investment) Regulations, 2022</w:t>
      </w:r>
    </w:p>
    <w:p w:rsidR="005D5DB2" w:rsidRDefault="005D5DB2" w:rsidP="005D5DB2">
      <w:pPr>
        <w:pStyle w:val="NormalWeb"/>
        <w:jc w:val="both"/>
        <w:rPr>
          <w:rFonts w:ascii="Arial" w:hAnsi="Arial" w:cs="Arial"/>
          <w:color w:val="000000"/>
          <w:sz w:val="20"/>
          <w:szCs w:val="20"/>
        </w:rPr>
      </w:pPr>
      <w:r>
        <w:rPr>
          <w:rFonts w:ascii="Arial" w:hAnsi="Arial" w:cs="Arial"/>
          <w:color w:val="000000"/>
          <w:sz w:val="20"/>
          <w:szCs w:val="20"/>
        </w:rPr>
        <w:t xml:space="preserve">In exercise of the powers conferred by sub-section (1) and clause (a) of sub-section (2) of section 47 of the Foreign Exchange Management Act, 1999 (42 of 1999), the Reserve Bank hereby makes the following regulations, </w:t>
      </w:r>
      <w:proofErr w:type="gramStart"/>
      <w:r>
        <w:rPr>
          <w:rFonts w:ascii="Arial" w:hAnsi="Arial" w:cs="Arial"/>
          <w:color w:val="000000"/>
          <w:sz w:val="20"/>
          <w:szCs w:val="20"/>
        </w:rPr>
        <w:t>namely:–</w:t>
      </w:r>
      <w:proofErr w:type="gramEnd"/>
    </w:p>
    <w:p w:rsidR="005D5DB2" w:rsidRDefault="005D5DB2" w:rsidP="005D5DB2">
      <w:pPr>
        <w:pStyle w:val="NormalWeb"/>
        <w:jc w:val="both"/>
        <w:rPr>
          <w:rFonts w:ascii="Arial" w:hAnsi="Arial" w:cs="Arial"/>
          <w:color w:val="000000"/>
          <w:sz w:val="20"/>
          <w:szCs w:val="20"/>
        </w:rPr>
      </w:pPr>
      <w:r>
        <w:rPr>
          <w:rStyle w:val="head1"/>
          <w:rFonts w:ascii="Arial" w:hAnsi="Arial" w:cs="Arial"/>
          <w:b/>
          <w:bCs/>
          <w:color w:val="000000"/>
          <w:sz w:val="20"/>
          <w:szCs w:val="20"/>
        </w:rPr>
        <w:t xml:space="preserve">1. Short title and </w:t>
      </w:r>
      <w:proofErr w:type="gramStart"/>
      <w:r>
        <w:rPr>
          <w:rStyle w:val="head1"/>
          <w:rFonts w:ascii="Arial" w:hAnsi="Arial" w:cs="Arial"/>
          <w:b/>
          <w:bCs/>
          <w:color w:val="000000"/>
          <w:sz w:val="20"/>
          <w:szCs w:val="20"/>
        </w:rPr>
        <w:t>commencement.–</w:t>
      </w:r>
      <w:proofErr w:type="gramEnd"/>
      <w:r>
        <w:rPr>
          <w:rFonts w:ascii="Arial" w:hAnsi="Arial" w:cs="Arial"/>
          <w:color w:val="000000"/>
          <w:sz w:val="20"/>
          <w:szCs w:val="20"/>
        </w:rPr>
        <w:t> (1) These regulations may be called the Foreign Exchange Management (Overseas Investment) Regulations, 2022.</w:t>
      </w:r>
    </w:p>
    <w:p w:rsidR="005D5DB2" w:rsidRDefault="005D5DB2" w:rsidP="005D5DB2">
      <w:pPr>
        <w:pStyle w:val="NormalWeb"/>
        <w:jc w:val="both"/>
        <w:rPr>
          <w:rFonts w:ascii="Arial" w:hAnsi="Arial" w:cs="Arial"/>
          <w:color w:val="000000"/>
          <w:sz w:val="20"/>
          <w:szCs w:val="20"/>
        </w:rPr>
      </w:pPr>
      <w:r>
        <w:rPr>
          <w:rFonts w:ascii="Arial" w:hAnsi="Arial" w:cs="Arial"/>
          <w:color w:val="000000"/>
          <w:sz w:val="20"/>
          <w:szCs w:val="20"/>
        </w:rPr>
        <w:t>(2) They shall come into force on the date of their publication in the </w:t>
      </w:r>
      <w:hyperlink r:id="rId33" w:tgtFrame="_blank" w:history="1">
        <w:r>
          <w:rPr>
            <w:rStyle w:val="Hyperlink"/>
            <w:rFonts w:ascii="Arial" w:hAnsi="Arial" w:cs="Arial"/>
            <w:sz w:val="20"/>
            <w:szCs w:val="20"/>
          </w:rPr>
          <w:t>Official Gazette</w:t>
        </w:r>
      </w:hyperlink>
      <w:r>
        <w:rPr>
          <w:rFonts w:ascii="Arial" w:hAnsi="Arial" w:cs="Arial"/>
          <w:color w:val="000000"/>
          <w:sz w:val="20"/>
          <w:szCs w:val="20"/>
        </w:rPr>
        <w:t>.</w:t>
      </w:r>
    </w:p>
    <w:p w:rsidR="005D5DB2" w:rsidRDefault="005D5DB2" w:rsidP="005D5DB2">
      <w:pPr>
        <w:pStyle w:val="NormalWeb"/>
        <w:jc w:val="both"/>
        <w:rPr>
          <w:rFonts w:ascii="Arial" w:hAnsi="Arial" w:cs="Arial"/>
          <w:color w:val="000000"/>
          <w:sz w:val="20"/>
          <w:szCs w:val="20"/>
        </w:rPr>
      </w:pPr>
      <w:r>
        <w:rPr>
          <w:rStyle w:val="head1"/>
          <w:rFonts w:ascii="Arial" w:hAnsi="Arial" w:cs="Arial"/>
          <w:b/>
          <w:bCs/>
          <w:color w:val="000000"/>
          <w:sz w:val="20"/>
          <w:szCs w:val="20"/>
        </w:rPr>
        <w:t xml:space="preserve">2. </w:t>
      </w:r>
      <w:proofErr w:type="gramStart"/>
      <w:r>
        <w:rPr>
          <w:rStyle w:val="head1"/>
          <w:rFonts w:ascii="Arial" w:hAnsi="Arial" w:cs="Arial"/>
          <w:b/>
          <w:bCs/>
          <w:color w:val="000000"/>
          <w:sz w:val="20"/>
          <w:szCs w:val="20"/>
        </w:rPr>
        <w:t>Definitions.–</w:t>
      </w:r>
      <w:proofErr w:type="gramEnd"/>
      <w:r>
        <w:rPr>
          <w:rFonts w:ascii="Arial" w:hAnsi="Arial" w:cs="Arial"/>
          <w:color w:val="000000"/>
          <w:sz w:val="20"/>
          <w:szCs w:val="20"/>
        </w:rPr>
        <w:t> (1) In these regulations, unless the context otherwise requires,–</w:t>
      </w:r>
    </w:p>
    <w:p w:rsidR="005D5DB2" w:rsidRDefault="005D5DB2" w:rsidP="005D5DB2">
      <w:pPr>
        <w:pStyle w:val="NormalWeb"/>
        <w:jc w:val="both"/>
        <w:rPr>
          <w:rFonts w:ascii="Arial" w:hAnsi="Arial" w:cs="Arial"/>
          <w:color w:val="000000"/>
          <w:sz w:val="20"/>
          <w:szCs w:val="20"/>
        </w:rPr>
      </w:pPr>
      <w:r>
        <w:rPr>
          <w:rFonts w:ascii="Arial" w:hAnsi="Arial" w:cs="Arial"/>
          <w:color w:val="000000"/>
          <w:sz w:val="20"/>
          <w:szCs w:val="20"/>
        </w:rPr>
        <w:t>(a) “Act” means the Foreign Exchange Management Act, 1999 (42 of 1999);</w:t>
      </w:r>
    </w:p>
    <w:p w:rsidR="005D5DB2" w:rsidRDefault="005D5DB2" w:rsidP="005D5DB2">
      <w:pPr>
        <w:pStyle w:val="NormalWeb"/>
        <w:jc w:val="both"/>
        <w:rPr>
          <w:rFonts w:ascii="Arial" w:hAnsi="Arial" w:cs="Arial"/>
          <w:color w:val="000000"/>
          <w:sz w:val="20"/>
          <w:szCs w:val="20"/>
        </w:rPr>
      </w:pPr>
      <w:r>
        <w:rPr>
          <w:rFonts w:ascii="Arial" w:hAnsi="Arial" w:cs="Arial"/>
          <w:color w:val="000000"/>
          <w:sz w:val="20"/>
          <w:szCs w:val="20"/>
        </w:rPr>
        <w:t>(b) “debt instruments” shall have the same meaning as assigned to it in the </w:t>
      </w:r>
      <w:hyperlink r:id="rId34" w:tgtFrame="_blank" w:history="1">
        <w:r>
          <w:rPr>
            <w:rStyle w:val="Hyperlink"/>
            <w:rFonts w:ascii="Arial" w:hAnsi="Arial" w:cs="Arial"/>
            <w:sz w:val="20"/>
            <w:szCs w:val="20"/>
          </w:rPr>
          <w:t>Foreign Exchange Management (Overseas Investment) Rules, 2022</w:t>
        </w:r>
      </w:hyperlink>
      <w:r>
        <w:rPr>
          <w:rFonts w:ascii="Arial" w:hAnsi="Arial" w:cs="Arial"/>
          <w:color w:val="000000"/>
          <w:sz w:val="20"/>
          <w:szCs w:val="20"/>
        </w:rPr>
        <w:t>;</w:t>
      </w:r>
    </w:p>
    <w:p w:rsidR="005D5DB2" w:rsidRDefault="005D5DB2" w:rsidP="005D5DB2">
      <w:pPr>
        <w:pStyle w:val="NormalWeb"/>
        <w:jc w:val="both"/>
        <w:rPr>
          <w:rFonts w:ascii="Arial" w:hAnsi="Arial" w:cs="Arial"/>
          <w:color w:val="000000"/>
          <w:sz w:val="20"/>
          <w:szCs w:val="20"/>
        </w:rPr>
      </w:pPr>
      <w:r>
        <w:rPr>
          <w:rFonts w:ascii="Arial" w:hAnsi="Arial" w:cs="Arial"/>
          <w:color w:val="000000"/>
          <w:sz w:val="20"/>
          <w:szCs w:val="20"/>
        </w:rPr>
        <w:t>(2) The words and expressions used but not defined in these regulations shall have the meanings respectively assigned to them in the Act or the </w:t>
      </w:r>
      <w:hyperlink r:id="rId35" w:tgtFrame="_blank" w:history="1">
        <w:r>
          <w:rPr>
            <w:rStyle w:val="Hyperlink"/>
            <w:rFonts w:ascii="Arial" w:hAnsi="Arial" w:cs="Arial"/>
            <w:sz w:val="20"/>
            <w:szCs w:val="20"/>
          </w:rPr>
          <w:t>Foreign Exchange Management (Overseas Investment) Rules, 2022</w:t>
        </w:r>
      </w:hyperlink>
      <w:r>
        <w:rPr>
          <w:rFonts w:ascii="Arial" w:hAnsi="Arial" w:cs="Arial"/>
          <w:color w:val="000000"/>
          <w:sz w:val="20"/>
          <w:szCs w:val="20"/>
        </w:rPr>
        <w:t>.</w:t>
      </w:r>
    </w:p>
    <w:p w:rsidR="005D5DB2" w:rsidRPr="005D5DB2" w:rsidRDefault="005D5DB2" w:rsidP="005D5DB2">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3. Financial commitment by Indian entity by modes other than equity capital</w:t>
      </w:r>
    </w:p>
    <w:p w:rsidR="005D5DB2" w:rsidRPr="005D5DB2" w:rsidRDefault="005D5DB2" w:rsidP="005D5DB2">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4. Financial commitment by Indian entity by way of debt</w:t>
      </w:r>
    </w:p>
    <w:p w:rsidR="005D5DB2" w:rsidRPr="005D5DB2" w:rsidRDefault="005D5DB2" w:rsidP="005D5DB2">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5. Financial commitment by way of guarantee</w:t>
      </w:r>
    </w:p>
    <w:p w:rsidR="005D5DB2" w:rsidRPr="005D5DB2" w:rsidRDefault="005D5DB2" w:rsidP="005D5DB2">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6. Financial commitment by way of pledge or charge</w:t>
      </w:r>
    </w:p>
    <w:p w:rsidR="005D5DB2" w:rsidRPr="005D5DB2" w:rsidRDefault="005D5DB2" w:rsidP="005D5DB2">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7. Acquisition or transfer by way of deferred payment</w:t>
      </w:r>
    </w:p>
    <w:p w:rsidR="005D5DB2" w:rsidRPr="005D5DB2" w:rsidRDefault="005D5DB2" w:rsidP="005D5DB2">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8. Mode of payment</w:t>
      </w:r>
    </w:p>
    <w:p w:rsidR="005D5DB2" w:rsidRPr="005D5DB2" w:rsidRDefault="005D5DB2" w:rsidP="005D5DB2">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9. Obligations of person resident in India</w:t>
      </w:r>
    </w:p>
    <w:p w:rsidR="005D5DB2" w:rsidRPr="005D5DB2" w:rsidRDefault="005D5DB2" w:rsidP="005D5DB2">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10. Reporting requirements for Overseas Investment</w:t>
      </w:r>
    </w:p>
    <w:p w:rsidR="005D5DB2" w:rsidRPr="005D5DB2" w:rsidRDefault="005D5DB2" w:rsidP="005D5DB2">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11. Delay in reporting</w:t>
      </w:r>
    </w:p>
    <w:p w:rsidR="005D5DB2" w:rsidRPr="005D5DB2" w:rsidRDefault="005D5DB2" w:rsidP="005D5DB2">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12. Restriction on further financial commitment or transfer</w:t>
      </w:r>
    </w:p>
    <w:p w:rsidR="005D5DB2" w:rsidRDefault="005D5DB2" w:rsidP="005D5DB2">
      <w:pPr>
        <w:pStyle w:val="NormalWeb"/>
        <w:rPr>
          <w:rFonts w:ascii="Arial" w:hAnsi="Arial" w:cs="Arial"/>
          <w:color w:val="000000"/>
          <w:sz w:val="20"/>
          <w:szCs w:val="20"/>
        </w:rPr>
      </w:pPr>
    </w:p>
    <w:p w:rsidR="005D5DB2" w:rsidRDefault="005D5DB2" w:rsidP="005D5DB2">
      <w:pPr>
        <w:pStyle w:val="NormalWeb"/>
        <w:rPr>
          <w:rFonts w:ascii="Arial" w:hAnsi="Arial" w:cs="Arial"/>
          <w:color w:val="000000"/>
          <w:sz w:val="20"/>
          <w:szCs w:val="20"/>
        </w:rPr>
      </w:pPr>
      <w:r>
        <w:rPr>
          <w:rFonts w:ascii="Arial" w:hAnsi="Arial" w:cs="Arial"/>
          <w:color w:val="000000"/>
          <w:sz w:val="20"/>
          <w:szCs w:val="20"/>
        </w:rPr>
        <w:t xml:space="preserve">(Ajay Kumar </w:t>
      </w:r>
      <w:proofErr w:type="spellStart"/>
      <w:r>
        <w:rPr>
          <w:rFonts w:ascii="Arial" w:hAnsi="Arial" w:cs="Arial"/>
          <w:color w:val="000000"/>
          <w:sz w:val="20"/>
          <w:szCs w:val="20"/>
        </w:rPr>
        <w:t>Misra</w:t>
      </w:r>
      <w:proofErr w:type="spellEnd"/>
      <w:r>
        <w:rPr>
          <w:rFonts w:ascii="Arial" w:hAnsi="Arial" w:cs="Arial"/>
          <w:color w:val="000000"/>
          <w:sz w:val="20"/>
          <w:szCs w:val="20"/>
        </w:rPr>
        <w:t>)</w:t>
      </w:r>
      <w:r>
        <w:rPr>
          <w:rFonts w:ascii="Arial" w:hAnsi="Arial" w:cs="Arial"/>
          <w:color w:val="000000"/>
          <w:sz w:val="20"/>
          <w:szCs w:val="20"/>
        </w:rPr>
        <w:br/>
        <w:t>Chief General Manager-in-Charge</w:t>
      </w:r>
    </w:p>
    <w:p w:rsidR="005D5DB2" w:rsidRDefault="005D5DB2" w:rsidP="005D5DB2"/>
    <w:p w:rsidR="005D5DB2" w:rsidRDefault="005D5DB2" w:rsidP="005D5DB2"/>
    <w:p w:rsidR="005D5DB2" w:rsidRDefault="005D5DB2" w:rsidP="005D5DB2"/>
    <w:p w:rsidR="005D5DB2" w:rsidRDefault="005D5DB2" w:rsidP="005D5DB2">
      <w:r>
        <w:t>More details can be referred to in the below link.</w:t>
      </w:r>
    </w:p>
    <w:p w:rsidR="005D5DB2" w:rsidRDefault="005D5DB2" w:rsidP="005D5DB2">
      <w:pPr>
        <w:rPr>
          <w:rFonts w:ascii="Arial" w:hAnsi="Arial" w:cs="Arial"/>
          <w:sz w:val="20"/>
          <w:szCs w:val="20"/>
        </w:rPr>
      </w:pPr>
      <w:r>
        <w:rPr>
          <w:rFonts w:ascii="Arial" w:hAnsi="Arial" w:cs="Arial"/>
          <w:sz w:val="20"/>
          <w:szCs w:val="20"/>
        </w:rPr>
        <w:t xml:space="preserve">Reference Link: </w:t>
      </w:r>
      <w:hyperlink r:id="rId36" w:history="1">
        <w:r w:rsidRPr="00200311">
          <w:rPr>
            <w:rStyle w:val="Hyperlink"/>
            <w:rFonts w:ascii="Arial" w:hAnsi="Arial" w:cs="Arial"/>
            <w:sz w:val="20"/>
            <w:szCs w:val="20"/>
          </w:rPr>
          <w:t>https://www.rbi.org.in/scripts/NotificationUser.aspx?Id=12380&amp;Mode=0</w:t>
        </w:r>
      </w:hyperlink>
    </w:p>
    <w:p w:rsidR="005D5DB2" w:rsidRDefault="005D5DB2" w:rsidP="005D5DB2"/>
    <w:p w:rsidR="00435B25" w:rsidRDefault="00435B25" w:rsidP="005D5DB2"/>
    <w:p w:rsidR="0045114B" w:rsidRPr="00435B25" w:rsidRDefault="0045114B" w:rsidP="005D5DB2">
      <w:pPr>
        <w:rPr>
          <w:rFonts w:ascii="Arial" w:hAnsi="Arial" w:cs="Arial"/>
          <w:b/>
          <w:bCs/>
          <w:color w:val="000000"/>
          <w:sz w:val="20"/>
          <w:szCs w:val="20"/>
        </w:rPr>
      </w:pPr>
      <w:r w:rsidRPr="00435B25">
        <w:rPr>
          <w:rFonts w:ascii="Arial" w:hAnsi="Arial" w:cs="Arial"/>
          <w:b/>
          <w:bCs/>
          <w:color w:val="000000"/>
          <w:sz w:val="20"/>
          <w:szCs w:val="20"/>
        </w:rPr>
        <w:lastRenderedPageBreak/>
        <w:t>Foreign Exchange Management (Overseas Investment) Directions, 2022</w:t>
      </w:r>
    </w:p>
    <w:p w:rsidR="0045114B" w:rsidRPr="00435B25" w:rsidRDefault="0045114B" w:rsidP="0045114B">
      <w:pPr>
        <w:pStyle w:val="NormalWeb"/>
        <w:jc w:val="both"/>
        <w:rPr>
          <w:rFonts w:ascii="Arial" w:hAnsi="Arial" w:cs="Arial"/>
          <w:color w:val="000000"/>
          <w:sz w:val="20"/>
          <w:szCs w:val="20"/>
        </w:rPr>
      </w:pPr>
      <w:r w:rsidRPr="00435B25">
        <w:rPr>
          <w:rFonts w:ascii="Arial" w:hAnsi="Arial" w:cs="Arial"/>
          <w:color w:val="000000"/>
          <w:sz w:val="20"/>
          <w:szCs w:val="20"/>
        </w:rPr>
        <w:t>RBI/2022-2023/110</w:t>
      </w:r>
      <w:r w:rsidRPr="00435B25">
        <w:rPr>
          <w:rFonts w:ascii="Arial" w:hAnsi="Arial" w:cs="Arial"/>
          <w:color w:val="000000"/>
          <w:sz w:val="20"/>
          <w:szCs w:val="20"/>
        </w:rPr>
        <w:br/>
        <w:t>A.P. (DIR Series) Circular No.12</w:t>
      </w:r>
    </w:p>
    <w:p w:rsidR="0045114B" w:rsidRPr="00435B25" w:rsidRDefault="0045114B" w:rsidP="0045114B">
      <w:pPr>
        <w:pStyle w:val="NormalWeb"/>
        <w:jc w:val="right"/>
        <w:rPr>
          <w:rFonts w:ascii="Arial" w:hAnsi="Arial" w:cs="Arial"/>
          <w:color w:val="000000"/>
          <w:sz w:val="20"/>
          <w:szCs w:val="20"/>
        </w:rPr>
      </w:pPr>
      <w:r w:rsidRPr="00435B25">
        <w:rPr>
          <w:rFonts w:ascii="Arial" w:hAnsi="Arial" w:cs="Arial"/>
          <w:color w:val="000000"/>
          <w:sz w:val="20"/>
          <w:szCs w:val="20"/>
        </w:rPr>
        <w:t>August 22, 2022</w:t>
      </w:r>
    </w:p>
    <w:p w:rsidR="0045114B" w:rsidRPr="00435B25" w:rsidRDefault="0045114B" w:rsidP="0045114B">
      <w:pPr>
        <w:pStyle w:val="NormalWeb"/>
        <w:spacing w:before="0" w:beforeAutospacing="0" w:after="0" w:afterAutospacing="0"/>
        <w:jc w:val="both"/>
        <w:rPr>
          <w:rFonts w:ascii="Arial" w:hAnsi="Arial" w:cs="Arial"/>
          <w:color w:val="000000"/>
          <w:sz w:val="20"/>
          <w:szCs w:val="20"/>
        </w:rPr>
      </w:pPr>
      <w:r w:rsidRPr="00435B25">
        <w:rPr>
          <w:rFonts w:ascii="Arial" w:hAnsi="Arial" w:cs="Arial"/>
          <w:color w:val="000000"/>
          <w:sz w:val="20"/>
          <w:szCs w:val="20"/>
        </w:rPr>
        <w:t>All Category – I Authorised Dealer Banks</w:t>
      </w:r>
    </w:p>
    <w:p w:rsidR="0045114B" w:rsidRPr="00435B25" w:rsidRDefault="0045114B" w:rsidP="0045114B">
      <w:pPr>
        <w:pStyle w:val="NormalWeb"/>
        <w:spacing w:before="0" w:beforeAutospacing="0" w:after="0" w:afterAutospacing="0"/>
        <w:jc w:val="both"/>
        <w:rPr>
          <w:rFonts w:ascii="Arial" w:hAnsi="Arial" w:cs="Arial"/>
          <w:color w:val="000000"/>
          <w:sz w:val="20"/>
          <w:szCs w:val="20"/>
        </w:rPr>
      </w:pPr>
      <w:r w:rsidRPr="00435B25">
        <w:rPr>
          <w:rFonts w:ascii="Arial" w:hAnsi="Arial" w:cs="Arial"/>
          <w:color w:val="000000"/>
          <w:sz w:val="20"/>
          <w:szCs w:val="20"/>
        </w:rPr>
        <w:t>Madam/Sir</w:t>
      </w:r>
    </w:p>
    <w:p w:rsidR="0045114B" w:rsidRPr="00435B25" w:rsidRDefault="0045114B" w:rsidP="0045114B">
      <w:pPr>
        <w:pStyle w:val="head"/>
        <w:jc w:val="center"/>
        <w:rPr>
          <w:rFonts w:ascii="Arial" w:hAnsi="Arial" w:cs="Arial"/>
          <w:b/>
          <w:bCs/>
          <w:color w:val="000000"/>
          <w:sz w:val="20"/>
          <w:szCs w:val="20"/>
        </w:rPr>
      </w:pPr>
      <w:r w:rsidRPr="00435B25">
        <w:rPr>
          <w:rFonts w:ascii="Arial" w:hAnsi="Arial" w:cs="Arial"/>
          <w:b/>
          <w:bCs/>
          <w:color w:val="000000"/>
          <w:sz w:val="20"/>
          <w:szCs w:val="20"/>
        </w:rPr>
        <w:t>Foreign Exchange Management (Overseas Investment) Directions, 2022</w:t>
      </w:r>
    </w:p>
    <w:p w:rsidR="0045114B" w:rsidRPr="00435B25" w:rsidRDefault="0045114B" w:rsidP="0045114B">
      <w:pPr>
        <w:pStyle w:val="NormalWeb"/>
        <w:jc w:val="both"/>
        <w:rPr>
          <w:rFonts w:ascii="Arial" w:hAnsi="Arial" w:cs="Arial"/>
          <w:color w:val="000000"/>
          <w:sz w:val="20"/>
          <w:szCs w:val="20"/>
        </w:rPr>
      </w:pPr>
      <w:r w:rsidRPr="00435B25">
        <w:rPr>
          <w:rFonts w:ascii="Arial" w:hAnsi="Arial" w:cs="Arial"/>
          <w:color w:val="000000"/>
          <w:sz w:val="20"/>
          <w:szCs w:val="20"/>
        </w:rPr>
        <w:t xml:space="preserve">Overseas investments by </w:t>
      </w:r>
      <w:proofErr w:type="gramStart"/>
      <w:r w:rsidRPr="00435B25">
        <w:rPr>
          <w:rFonts w:ascii="Arial" w:hAnsi="Arial" w:cs="Arial"/>
          <w:color w:val="000000"/>
          <w:sz w:val="20"/>
          <w:szCs w:val="20"/>
        </w:rPr>
        <w:t>persons</w:t>
      </w:r>
      <w:proofErr w:type="gramEnd"/>
      <w:r w:rsidRPr="00435B25">
        <w:rPr>
          <w:rFonts w:ascii="Arial" w:hAnsi="Arial" w:cs="Arial"/>
          <w:color w:val="000000"/>
          <w:sz w:val="20"/>
          <w:szCs w:val="20"/>
        </w:rPr>
        <w:t xml:space="preserve"> resident in India enhance the scale and scope of business operations of Indian entrepreneurs by providing global opportunities for growth. Such ventures through easier access to technology, research and development, a wider global market and reduced cost of capital along with other benefits increase the competitiveness of Indian entities and boost their brand value. These overseas investments are also important drivers of foreign trade and technology transfer thus boosting domestic employment, investment and growth through such interlinkages.</w:t>
      </w:r>
    </w:p>
    <w:p w:rsidR="0045114B" w:rsidRPr="00435B25" w:rsidRDefault="0045114B" w:rsidP="0045114B">
      <w:pPr>
        <w:pStyle w:val="NormalWeb"/>
        <w:jc w:val="both"/>
        <w:rPr>
          <w:rFonts w:ascii="Arial" w:hAnsi="Arial" w:cs="Arial"/>
          <w:color w:val="000000"/>
          <w:sz w:val="20"/>
          <w:szCs w:val="20"/>
        </w:rPr>
      </w:pPr>
      <w:r w:rsidRPr="00435B25">
        <w:rPr>
          <w:rFonts w:ascii="Arial" w:hAnsi="Arial" w:cs="Arial"/>
          <w:color w:val="000000"/>
          <w:sz w:val="20"/>
          <w:szCs w:val="20"/>
        </w:rPr>
        <w:t>2. In keeping with the spirit of liberalisation and to promote ease of doing business, the Central Government and the Reserve Bank of India have been progressively simplifying the procedures and rationalising the rules and regulations under the Foreign Exchange Management Act, 1999. In this direction, a significant step has been taken with operationalisation of a new Overseas Investment regime. </w:t>
      </w:r>
      <w:hyperlink r:id="rId37" w:tgtFrame="_blank" w:history="1">
        <w:r w:rsidRPr="00435B25">
          <w:rPr>
            <w:rStyle w:val="Hyperlink"/>
            <w:rFonts w:ascii="Arial" w:hAnsi="Arial" w:cs="Arial"/>
            <w:sz w:val="20"/>
            <w:szCs w:val="20"/>
          </w:rPr>
          <w:t>Foreign Exchange Management (Overseas Investment) Rules, 2022</w:t>
        </w:r>
      </w:hyperlink>
      <w:r w:rsidRPr="00435B25">
        <w:rPr>
          <w:rFonts w:ascii="Arial" w:hAnsi="Arial" w:cs="Arial"/>
          <w:color w:val="000000"/>
          <w:sz w:val="20"/>
          <w:szCs w:val="20"/>
        </w:rPr>
        <w:t> have been notified by the Central Government vide Notification No. G.S.R. 646(E) dated August 22, 2022 and </w:t>
      </w:r>
      <w:hyperlink r:id="rId38" w:tgtFrame="_blank" w:history="1">
        <w:r w:rsidRPr="00435B25">
          <w:rPr>
            <w:rStyle w:val="Hyperlink"/>
            <w:rFonts w:ascii="Arial" w:hAnsi="Arial" w:cs="Arial"/>
            <w:sz w:val="20"/>
            <w:szCs w:val="20"/>
          </w:rPr>
          <w:t>Foreign Exchange Management (Overseas Investment) Regulations, 2022</w:t>
        </w:r>
      </w:hyperlink>
      <w:r w:rsidRPr="00435B25">
        <w:rPr>
          <w:rFonts w:ascii="Arial" w:hAnsi="Arial" w:cs="Arial"/>
          <w:color w:val="000000"/>
          <w:sz w:val="20"/>
          <w:szCs w:val="20"/>
        </w:rPr>
        <w:t> have been notified by the Reserve Bank vide Notification No. FEMA 400/2022-RB dated August 22, 2022 in supersession of the </w:t>
      </w:r>
      <w:hyperlink r:id="rId39" w:tgtFrame="_blank" w:history="1">
        <w:r w:rsidRPr="00435B25">
          <w:rPr>
            <w:rStyle w:val="Hyperlink"/>
            <w:rFonts w:ascii="Arial" w:hAnsi="Arial" w:cs="Arial"/>
            <w:sz w:val="20"/>
            <w:szCs w:val="20"/>
          </w:rPr>
          <w:t>Notification No. FEMA 120/2004-RB dated July 07, 2004</w:t>
        </w:r>
      </w:hyperlink>
      <w:r w:rsidRPr="00435B25">
        <w:rPr>
          <w:rFonts w:ascii="Arial" w:hAnsi="Arial" w:cs="Arial"/>
          <w:color w:val="000000"/>
          <w:sz w:val="20"/>
          <w:szCs w:val="20"/>
        </w:rPr>
        <w:t> [Foreign Exchange Management (Transfer or Issue of any Foreign Security) (Amendment) Regulations, 2004] and </w:t>
      </w:r>
      <w:hyperlink r:id="rId40" w:tgtFrame="_blank" w:history="1">
        <w:r w:rsidRPr="00435B25">
          <w:rPr>
            <w:rStyle w:val="Hyperlink"/>
            <w:rFonts w:ascii="Arial" w:hAnsi="Arial" w:cs="Arial"/>
            <w:sz w:val="20"/>
            <w:szCs w:val="20"/>
          </w:rPr>
          <w:t>Notification No. FEMA 7 (R)/2015-RB dated January 21, 2016</w:t>
        </w:r>
      </w:hyperlink>
      <w:r w:rsidRPr="00435B25">
        <w:rPr>
          <w:rFonts w:ascii="Arial" w:hAnsi="Arial" w:cs="Arial"/>
          <w:color w:val="000000"/>
          <w:sz w:val="20"/>
          <w:szCs w:val="20"/>
        </w:rPr>
        <w:t xml:space="preserve"> [Foreign Exchange Management (Acquisition and Transfer of Immovable Property Outside India) Regulations, 2015]. The new regime simplifies the existing framework for overseas investment by </w:t>
      </w:r>
      <w:proofErr w:type="gramStart"/>
      <w:r w:rsidRPr="00435B25">
        <w:rPr>
          <w:rFonts w:ascii="Arial" w:hAnsi="Arial" w:cs="Arial"/>
          <w:color w:val="000000"/>
          <w:sz w:val="20"/>
          <w:szCs w:val="20"/>
        </w:rPr>
        <w:t>persons</w:t>
      </w:r>
      <w:proofErr w:type="gramEnd"/>
      <w:r w:rsidRPr="00435B25">
        <w:rPr>
          <w:rFonts w:ascii="Arial" w:hAnsi="Arial" w:cs="Arial"/>
          <w:color w:val="000000"/>
          <w:sz w:val="20"/>
          <w:szCs w:val="20"/>
        </w:rPr>
        <w:t xml:space="preserve"> resident in India to cover wider economic activity and significantly reduces the need for seeking specific approvals. This will reduce the compliance burden and associated compliance costs.</w:t>
      </w:r>
    </w:p>
    <w:p w:rsidR="0045114B" w:rsidRPr="00435B25" w:rsidRDefault="0045114B" w:rsidP="0045114B">
      <w:pPr>
        <w:pStyle w:val="NormalWeb"/>
        <w:spacing w:before="0" w:beforeAutospacing="0" w:after="0" w:afterAutospacing="0"/>
        <w:rPr>
          <w:rFonts w:ascii="Arial" w:hAnsi="Arial" w:cs="Arial"/>
          <w:color w:val="000000"/>
          <w:sz w:val="20"/>
          <w:szCs w:val="20"/>
        </w:rPr>
      </w:pPr>
      <w:r w:rsidRPr="00435B25">
        <w:rPr>
          <w:rFonts w:ascii="Arial" w:hAnsi="Arial" w:cs="Arial"/>
          <w:color w:val="000000"/>
          <w:sz w:val="20"/>
          <w:szCs w:val="20"/>
        </w:rPr>
        <w:t>3. Some of the significant changes brought about through the new rules and regulations are summarised below:</w:t>
      </w:r>
    </w:p>
    <w:p w:rsidR="0045114B" w:rsidRPr="00435B25" w:rsidRDefault="0045114B" w:rsidP="0045114B">
      <w:pPr>
        <w:pStyle w:val="NormalWeb"/>
        <w:spacing w:before="0" w:beforeAutospacing="0" w:after="0" w:afterAutospacing="0"/>
        <w:rPr>
          <w:rFonts w:ascii="Arial" w:hAnsi="Arial" w:cs="Arial"/>
          <w:color w:val="000000"/>
          <w:sz w:val="20"/>
          <w:szCs w:val="20"/>
        </w:rPr>
      </w:pPr>
      <w:r w:rsidRPr="00435B25">
        <w:rPr>
          <w:rFonts w:ascii="Arial" w:hAnsi="Arial" w:cs="Arial"/>
          <w:color w:val="000000"/>
          <w:sz w:val="20"/>
          <w:szCs w:val="20"/>
        </w:rPr>
        <w:t>(</w:t>
      </w:r>
      <w:proofErr w:type="spellStart"/>
      <w:r w:rsidRPr="00435B25">
        <w:rPr>
          <w:rFonts w:ascii="Arial" w:hAnsi="Arial" w:cs="Arial"/>
          <w:color w:val="000000"/>
          <w:sz w:val="20"/>
          <w:szCs w:val="20"/>
        </w:rPr>
        <w:t>i</w:t>
      </w:r>
      <w:proofErr w:type="spellEnd"/>
      <w:r w:rsidRPr="00435B25">
        <w:rPr>
          <w:rFonts w:ascii="Arial" w:hAnsi="Arial" w:cs="Arial"/>
          <w:color w:val="000000"/>
          <w:sz w:val="20"/>
          <w:szCs w:val="20"/>
        </w:rPr>
        <w:t>) enhanced clarity with respect to various definitions;</w:t>
      </w:r>
    </w:p>
    <w:p w:rsidR="0045114B" w:rsidRPr="00435B25" w:rsidRDefault="0045114B" w:rsidP="0045114B">
      <w:pPr>
        <w:pStyle w:val="NormalWeb"/>
        <w:spacing w:before="0" w:beforeAutospacing="0" w:after="0" w:afterAutospacing="0"/>
        <w:rPr>
          <w:rFonts w:ascii="Arial" w:hAnsi="Arial" w:cs="Arial"/>
          <w:color w:val="000000"/>
          <w:sz w:val="20"/>
          <w:szCs w:val="20"/>
        </w:rPr>
      </w:pPr>
      <w:r w:rsidRPr="00435B25">
        <w:rPr>
          <w:rFonts w:ascii="Arial" w:hAnsi="Arial" w:cs="Arial"/>
          <w:color w:val="000000"/>
          <w:sz w:val="20"/>
          <w:szCs w:val="20"/>
        </w:rPr>
        <w:t>(ii) introduction of the concept of “strategic sector”;</w:t>
      </w:r>
    </w:p>
    <w:p w:rsidR="0045114B" w:rsidRPr="00435B25" w:rsidRDefault="0045114B" w:rsidP="0045114B">
      <w:pPr>
        <w:pStyle w:val="NormalWeb"/>
        <w:spacing w:before="0" w:beforeAutospacing="0" w:after="0" w:afterAutospacing="0"/>
        <w:rPr>
          <w:rFonts w:ascii="Arial" w:hAnsi="Arial" w:cs="Arial"/>
          <w:color w:val="000000"/>
          <w:sz w:val="20"/>
          <w:szCs w:val="20"/>
        </w:rPr>
      </w:pPr>
      <w:r w:rsidRPr="00435B25">
        <w:rPr>
          <w:rFonts w:ascii="Arial" w:hAnsi="Arial" w:cs="Arial"/>
          <w:color w:val="000000"/>
          <w:sz w:val="20"/>
          <w:szCs w:val="20"/>
        </w:rPr>
        <w:t>(iii) dispensing with the requirement of approval for:</w:t>
      </w:r>
    </w:p>
    <w:p w:rsidR="0045114B" w:rsidRPr="00435B25" w:rsidRDefault="0045114B" w:rsidP="00435B25">
      <w:pPr>
        <w:pStyle w:val="NormalWeb"/>
        <w:numPr>
          <w:ilvl w:val="0"/>
          <w:numId w:val="18"/>
        </w:numPr>
        <w:spacing w:before="0" w:beforeAutospacing="0"/>
        <w:ind w:left="0"/>
        <w:jc w:val="both"/>
        <w:rPr>
          <w:rFonts w:ascii="Arial" w:hAnsi="Arial" w:cs="Arial"/>
          <w:color w:val="000000"/>
          <w:sz w:val="20"/>
          <w:szCs w:val="20"/>
        </w:rPr>
      </w:pPr>
      <w:r w:rsidRPr="00435B25">
        <w:rPr>
          <w:rFonts w:ascii="Arial" w:hAnsi="Arial" w:cs="Arial"/>
          <w:color w:val="000000"/>
          <w:sz w:val="20"/>
          <w:szCs w:val="20"/>
        </w:rPr>
        <w:t>deferred payment of consideration;</w:t>
      </w:r>
    </w:p>
    <w:p w:rsidR="0045114B" w:rsidRPr="00435B25" w:rsidRDefault="0045114B" w:rsidP="0045114B">
      <w:pPr>
        <w:pStyle w:val="NormalWeb"/>
        <w:numPr>
          <w:ilvl w:val="0"/>
          <w:numId w:val="18"/>
        </w:numPr>
        <w:ind w:left="0"/>
        <w:jc w:val="both"/>
        <w:rPr>
          <w:rFonts w:ascii="Arial" w:hAnsi="Arial" w:cs="Arial"/>
          <w:color w:val="000000"/>
          <w:sz w:val="20"/>
          <w:szCs w:val="20"/>
        </w:rPr>
      </w:pPr>
      <w:r w:rsidRPr="00435B25">
        <w:rPr>
          <w:rFonts w:ascii="Arial" w:hAnsi="Arial" w:cs="Arial"/>
          <w:color w:val="000000"/>
          <w:sz w:val="20"/>
          <w:szCs w:val="20"/>
        </w:rPr>
        <w:t xml:space="preserve">investment/disinvestment by </w:t>
      </w:r>
      <w:proofErr w:type="gramStart"/>
      <w:r w:rsidRPr="00435B25">
        <w:rPr>
          <w:rFonts w:ascii="Arial" w:hAnsi="Arial" w:cs="Arial"/>
          <w:color w:val="000000"/>
          <w:sz w:val="20"/>
          <w:szCs w:val="20"/>
        </w:rPr>
        <w:t>persons</w:t>
      </w:r>
      <w:proofErr w:type="gramEnd"/>
      <w:r w:rsidRPr="00435B25">
        <w:rPr>
          <w:rFonts w:ascii="Arial" w:hAnsi="Arial" w:cs="Arial"/>
          <w:color w:val="000000"/>
          <w:sz w:val="20"/>
          <w:szCs w:val="20"/>
        </w:rPr>
        <w:t xml:space="preserve"> resident in India under investigation by any investigative agency/regulatory body;</w:t>
      </w:r>
    </w:p>
    <w:p w:rsidR="0045114B" w:rsidRPr="00435B25" w:rsidRDefault="0045114B" w:rsidP="0045114B">
      <w:pPr>
        <w:pStyle w:val="NormalWeb"/>
        <w:numPr>
          <w:ilvl w:val="0"/>
          <w:numId w:val="18"/>
        </w:numPr>
        <w:ind w:left="0"/>
        <w:jc w:val="both"/>
        <w:rPr>
          <w:rFonts w:ascii="Arial" w:hAnsi="Arial" w:cs="Arial"/>
          <w:color w:val="000000"/>
          <w:sz w:val="20"/>
          <w:szCs w:val="20"/>
        </w:rPr>
      </w:pPr>
      <w:r w:rsidRPr="00435B25">
        <w:rPr>
          <w:rFonts w:ascii="Arial" w:hAnsi="Arial" w:cs="Arial"/>
          <w:color w:val="000000"/>
          <w:sz w:val="20"/>
          <w:szCs w:val="20"/>
        </w:rPr>
        <w:t>issuance of corporate guarantees to or on behalf of second or subsequent level step down subsidiary (SDS);</w:t>
      </w:r>
    </w:p>
    <w:p w:rsidR="0045114B" w:rsidRPr="00435B25" w:rsidRDefault="0045114B" w:rsidP="00435B25">
      <w:pPr>
        <w:pStyle w:val="NormalWeb"/>
        <w:numPr>
          <w:ilvl w:val="0"/>
          <w:numId w:val="18"/>
        </w:numPr>
        <w:spacing w:before="0" w:beforeAutospacing="0" w:after="0" w:afterAutospacing="0"/>
        <w:ind w:left="0"/>
        <w:jc w:val="both"/>
        <w:rPr>
          <w:rFonts w:ascii="Arial" w:hAnsi="Arial" w:cs="Arial"/>
          <w:color w:val="000000"/>
          <w:sz w:val="20"/>
          <w:szCs w:val="20"/>
        </w:rPr>
      </w:pPr>
      <w:r w:rsidRPr="00435B25">
        <w:rPr>
          <w:rFonts w:ascii="Arial" w:hAnsi="Arial" w:cs="Arial"/>
          <w:color w:val="000000"/>
          <w:sz w:val="20"/>
          <w:szCs w:val="20"/>
        </w:rPr>
        <w:t>write-off on account of disinvestment;</w:t>
      </w:r>
    </w:p>
    <w:p w:rsidR="0045114B" w:rsidRPr="00435B25" w:rsidRDefault="0045114B" w:rsidP="00435B25">
      <w:pPr>
        <w:pStyle w:val="NormalWeb"/>
        <w:spacing w:before="0" w:beforeAutospacing="0" w:after="0" w:afterAutospacing="0"/>
        <w:jc w:val="both"/>
        <w:rPr>
          <w:rFonts w:ascii="Arial" w:hAnsi="Arial" w:cs="Arial"/>
          <w:color w:val="000000"/>
          <w:sz w:val="20"/>
          <w:szCs w:val="20"/>
        </w:rPr>
      </w:pPr>
      <w:r w:rsidRPr="00435B25">
        <w:rPr>
          <w:rFonts w:ascii="Arial" w:hAnsi="Arial" w:cs="Arial"/>
          <w:color w:val="000000"/>
          <w:sz w:val="20"/>
          <w:szCs w:val="20"/>
        </w:rPr>
        <w:t>(iv) introduction of “Late Submission Fee (LSF)” for reporting delays.</w:t>
      </w:r>
    </w:p>
    <w:p w:rsidR="00EC7DEE" w:rsidRDefault="0045114B" w:rsidP="00EC7DEE">
      <w:pPr>
        <w:pStyle w:val="NormalWeb"/>
        <w:spacing w:after="0" w:afterAutospacing="0"/>
        <w:rPr>
          <w:rFonts w:ascii="Arial" w:hAnsi="Arial" w:cs="Arial"/>
          <w:color w:val="000000"/>
          <w:sz w:val="20"/>
          <w:szCs w:val="20"/>
        </w:rPr>
      </w:pPr>
      <w:r w:rsidRPr="00435B25">
        <w:rPr>
          <w:rFonts w:ascii="Arial" w:hAnsi="Arial" w:cs="Arial"/>
          <w:color w:val="000000"/>
          <w:sz w:val="20"/>
          <w:szCs w:val="20"/>
        </w:rPr>
        <w:t>Yours faithfully</w:t>
      </w:r>
    </w:p>
    <w:p w:rsidR="0045114B" w:rsidRPr="00435B25" w:rsidRDefault="0045114B" w:rsidP="00EC7DEE">
      <w:pPr>
        <w:pStyle w:val="NormalWeb"/>
        <w:spacing w:before="0" w:beforeAutospacing="0" w:after="0" w:afterAutospacing="0"/>
        <w:rPr>
          <w:rFonts w:ascii="Arial" w:hAnsi="Arial" w:cs="Arial"/>
          <w:color w:val="000000"/>
          <w:sz w:val="20"/>
          <w:szCs w:val="20"/>
        </w:rPr>
      </w:pPr>
      <w:r w:rsidRPr="00435B25">
        <w:rPr>
          <w:rFonts w:ascii="Arial" w:hAnsi="Arial" w:cs="Arial"/>
          <w:color w:val="000000"/>
          <w:sz w:val="20"/>
          <w:szCs w:val="20"/>
        </w:rPr>
        <w:t xml:space="preserve">Ajay Kumar </w:t>
      </w:r>
      <w:proofErr w:type="spellStart"/>
      <w:r w:rsidRPr="00435B25">
        <w:rPr>
          <w:rFonts w:ascii="Arial" w:hAnsi="Arial" w:cs="Arial"/>
          <w:color w:val="000000"/>
          <w:sz w:val="20"/>
          <w:szCs w:val="20"/>
        </w:rPr>
        <w:t>Misra</w:t>
      </w:r>
      <w:proofErr w:type="spellEnd"/>
      <w:r w:rsidRPr="00435B25">
        <w:rPr>
          <w:rFonts w:ascii="Arial" w:hAnsi="Arial" w:cs="Arial"/>
          <w:color w:val="000000"/>
          <w:sz w:val="20"/>
          <w:szCs w:val="20"/>
        </w:rPr>
        <w:br/>
        <w:t>Chief General Manager-in-Charge</w:t>
      </w:r>
    </w:p>
    <w:p w:rsidR="00435B25" w:rsidRDefault="00435B25" w:rsidP="00435B25">
      <w:pPr>
        <w:rPr>
          <w:rFonts w:ascii="Arial" w:hAnsi="Arial" w:cs="Arial"/>
          <w:sz w:val="20"/>
          <w:szCs w:val="20"/>
        </w:rPr>
      </w:pPr>
    </w:p>
    <w:p w:rsidR="00435B25" w:rsidRPr="00435B25" w:rsidRDefault="00435B25" w:rsidP="00435B25">
      <w:pPr>
        <w:spacing w:after="0"/>
        <w:rPr>
          <w:rFonts w:ascii="Arial" w:hAnsi="Arial" w:cs="Arial"/>
          <w:sz w:val="20"/>
          <w:szCs w:val="20"/>
        </w:rPr>
      </w:pPr>
    </w:p>
    <w:p w:rsidR="00435B25" w:rsidRPr="00435B25" w:rsidRDefault="00435B25" w:rsidP="00435B25">
      <w:pPr>
        <w:spacing w:after="0"/>
        <w:rPr>
          <w:rFonts w:ascii="Arial" w:hAnsi="Arial" w:cs="Arial"/>
          <w:sz w:val="20"/>
          <w:szCs w:val="20"/>
        </w:rPr>
      </w:pPr>
      <w:r w:rsidRPr="00435B25">
        <w:rPr>
          <w:rFonts w:ascii="Arial" w:hAnsi="Arial" w:cs="Arial"/>
          <w:sz w:val="20"/>
          <w:szCs w:val="20"/>
        </w:rPr>
        <w:t>More details can be referred to in the below link.</w:t>
      </w:r>
    </w:p>
    <w:p w:rsidR="00435B25" w:rsidRPr="00435B25" w:rsidRDefault="00435B25" w:rsidP="005D5DB2">
      <w:pPr>
        <w:rPr>
          <w:rFonts w:ascii="Arial" w:hAnsi="Arial" w:cs="Arial"/>
          <w:sz w:val="20"/>
          <w:szCs w:val="20"/>
        </w:rPr>
      </w:pPr>
      <w:r w:rsidRPr="00435B25">
        <w:rPr>
          <w:rFonts w:ascii="Arial" w:hAnsi="Arial" w:cs="Arial"/>
          <w:sz w:val="20"/>
          <w:szCs w:val="20"/>
        </w:rPr>
        <w:t xml:space="preserve">Reference Link: </w:t>
      </w:r>
      <w:hyperlink r:id="rId41" w:history="1">
        <w:r w:rsidRPr="00435B25">
          <w:rPr>
            <w:rStyle w:val="Hyperlink"/>
            <w:rFonts w:ascii="Arial" w:hAnsi="Arial" w:cs="Arial"/>
            <w:sz w:val="20"/>
            <w:szCs w:val="20"/>
          </w:rPr>
          <w:t>https://www.rbi.org.in/scripts/NotificationUser.aspx?Id=12381&amp;Mode=0</w:t>
        </w:r>
      </w:hyperlink>
    </w:p>
    <w:p w:rsidR="00435B25" w:rsidRDefault="00435B25" w:rsidP="005D5DB2"/>
    <w:p w:rsidR="00147837" w:rsidRPr="00147837" w:rsidRDefault="00147837" w:rsidP="005D5DB2">
      <w:pPr>
        <w:rPr>
          <w:rFonts w:ascii="Arial" w:hAnsi="Arial" w:cs="Arial"/>
          <w:b/>
          <w:bCs/>
          <w:color w:val="000000"/>
          <w:sz w:val="20"/>
          <w:szCs w:val="20"/>
        </w:rPr>
      </w:pPr>
      <w:r w:rsidRPr="00147837">
        <w:rPr>
          <w:rFonts w:ascii="Arial" w:hAnsi="Arial" w:cs="Arial"/>
          <w:b/>
          <w:bCs/>
          <w:color w:val="000000"/>
          <w:sz w:val="20"/>
          <w:szCs w:val="20"/>
        </w:rPr>
        <w:lastRenderedPageBreak/>
        <w:t>Rupee Drawing Arrangement - Enabling Bharat Bill Payment System (BBPS) to process cross-border inbound Bill Payments</w:t>
      </w:r>
    </w:p>
    <w:p w:rsidR="00147837" w:rsidRPr="00147837" w:rsidRDefault="00147837" w:rsidP="00147837">
      <w:pPr>
        <w:pStyle w:val="NormalWeb"/>
        <w:rPr>
          <w:rFonts w:ascii="Arial" w:hAnsi="Arial" w:cs="Arial"/>
          <w:sz w:val="20"/>
          <w:szCs w:val="20"/>
        </w:rPr>
      </w:pPr>
      <w:r w:rsidRPr="00147837">
        <w:rPr>
          <w:rFonts w:ascii="Arial" w:hAnsi="Arial" w:cs="Arial"/>
          <w:sz w:val="20"/>
          <w:szCs w:val="20"/>
        </w:rPr>
        <w:t>RBI/2022-23/115</w:t>
      </w:r>
      <w:r w:rsidRPr="00147837">
        <w:rPr>
          <w:rFonts w:ascii="Arial" w:hAnsi="Arial" w:cs="Arial"/>
          <w:sz w:val="20"/>
          <w:szCs w:val="20"/>
        </w:rPr>
        <w:br/>
        <w:t>A.P. (DIR Series) Circular No. 14</w:t>
      </w:r>
    </w:p>
    <w:p w:rsidR="00147837" w:rsidRPr="00147837" w:rsidRDefault="00147837" w:rsidP="00147837">
      <w:pPr>
        <w:pStyle w:val="NormalWeb"/>
        <w:jc w:val="right"/>
        <w:rPr>
          <w:rFonts w:ascii="Arial" w:hAnsi="Arial" w:cs="Arial"/>
          <w:sz w:val="20"/>
          <w:szCs w:val="20"/>
        </w:rPr>
      </w:pPr>
      <w:r w:rsidRPr="00147837">
        <w:rPr>
          <w:rFonts w:ascii="Arial" w:hAnsi="Arial" w:cs="Arial"/>
          <w:sz w:val="20"/>
          <w:szCs w:val="20"/>
        </w:rPr>
        <w:t>September 15, 2022</w:t>
      </w:r>
    </w:p>
    <w:p w:rsidR="00147837" w:rsidRPr="00147837" w:rsidRDefault="00147837" w:rsidP="00147837">
      <w:pPr>
        <w:pStyle w:val="NormalWeb"/>
        <w:rPr>
          <w:rFonts w:ascii="Arial" w:hAnsi="Arial" w:cs="Arial"/>
          <w:sz w:val="20"/>
          <w:szCs w:val="20"/>
        </w:rPr>
      </w:pPr>
      <w:r w:rsidRPr="00147837">
        <w:rPr>
          <w:rFonts w:ascii="Arial" w:hAnsi="Arial" w:cs="Arial"/>
          <w:sz w:val="20"/>
          <w:szCs w:val="20"/>
        </w:rPr>
        <w:t>To</w:t>
      </w:r>
      <w:r w:rsidRPr="00147837">
        <w:rPr>
          <w:rFonts w:ascii="Arial" w:hAnsi="Arial" w:cs="Arial"/>
          <w:sz w:val="20"/>
          <w:szCs w:val="20"/>
        </w:rPr>
        <w:br/>
        <w:t>All Category-I Authorised Dealer Banks</w:t>
      </w:r>
    </w:p>
    <w:p w:rsidR="00147837" w:rsidRPr="00147837" w:rsidRDefault="00147837" w:rsidP="00147837">
      <w:pPr>
        <w:pStyle w:val="NormalWeb"/>
        <w:rPr>
          <w:rFonts w:ascii="Arial" w:hAnsi="Arial" w:cs="Arial"/>
          <w:sz w:val="20"/>
          <w:szCs w:val="20"/>
        </w:rPr>
      </w:pPr>
      <w:r w:rsidRPr="00147837">
        <w:rPr>
          <w:rFonts w:ascii="Arial" w:hAnsi="Arial" w:cs="Arial"/>
          <w:sz w:val="20"/>
          <w:szCs w:val="20"/>
        </w:rPr>
        <w:t>Madam/Sir,</w:t>
      </w:r>
    </w:p>
    <w:p w:rsidR="00147837" w:rsidRPr="00147837" w:rsidRDefault="00147837" w:rsidP="00147837">
      <w:pPr>
        <w:pStyle w:val="head"/>
        <w:jc w:val="center"/>
        <w:rPr>
          <w:rFonts w:ascii="Arial" w:hAnsi="Arial" w:cs="Arial"/>
          <w:b/>
          <w:bCs/>
          <w:sz w:val="20"/>
          <w:szCs w:val="20"/>
        </w:rPr>
      </w:pPr>
      <w:r w:rsidRPr="00147837">
        <w:rPr>
          <w:rFonts w:ascii="Arial" w:hAnsi="Arial" w:cs="Arial"/>
          <w:b/>
          <w:bCs/>
          <w:sz w:val="20"/>
          <w:szCs w:val="20"/>
        </w:rPr>
        <w:t>Rupee Drawing Arrangement - Enabling Bharat Bill Payment System (BBPS) to process</w:t>
      </w:r>
      <w:r w:rsidRPr="00147837">
        <w:rPr>
          <w:rFonts w:ascii="Arial" w:hAnsi="Arial" w:cs="Arial"/>
          <w:b/>
          <w:bCs/>
          <w:sz w:val="20"/>
          <w:szCs w:val="20"/>
        </w:rPr>
        <w:br/>
        <w:t>cross-border inbound Bill Payments</w:t>
      </w:r>
    </w:p>
    <w:p w:rsidR="00147837" w:rsidRPr="00147837" w:rsidRDefault="00147837" w:rsidP="00147837">
      <w:pPr>
        <w:pStyle w:val="NormalWeb"/>
        <w:rPr>
          <w:rFonts w:ascii="Arial" w:hAnsi="Arial" w:cs="Arial"/>
          <w:sz w:val="20"/>
          <w:szCs w:val="20"/>
        </w:rPr>
      </w:pPr>
      <w:r w:rsidRPr="00147837">
        <w:rPr>
          <w:rFonts w:ascii="Arial" w:hAnsi="Arial" w:cs="Arial"/>
          <w:sz w:val="20"/>
          <w:szCs w:val="20"/>
        </w:rPr>
        <w:t>Please refer to </w:t>
      </w:r>
      <w:hyperlink r:id="rId42" w:tgtFrame="_blank" w:history="1">
        <w:r w:rsidRPr="00147837">
          <w:rPr>
            <w:rStyle w:val="Hyperlink"/>
            <w:rFonts w:ascii="Arial" w:hAnsi="Arial" w:cs="Arial"/>
            <w:sz w:val="20"/>
            <w:szCs w:val="20"/>
          </w:rPr>
          <w:t>A.P. (DIR Series) Circular No. 120 dated April 10, 2014</w:t>
        </w:r>
      </w:hyperlink>
      <w:r w:rsidRPr="00147837">
        <w:rPr>
          <w:rFonts w:ascii="Arial" w:hAnsi="Arial" w:cs="Arial"/>
          <w:sz w:val="20"/>
          <w:szCs w:val="20"/>
        </w:rPr>
        <w:t> on ‘Rupee Drawing Arrangement – Direct to Account Facility’, in terms of which, foreign inward remittances received under Rupee Drawing Arrangement (RDA) can be transferred to the KYC compliant beneficiary bank accounts through electronic mode, such as, NEFT, IMPS, etc. subject to the procedure and conditions mentioned therein.</w:t>
      </w:r>
    </w:p>
    <w:p w:rsidR="00147837" w:rsidRPr="00147837" w:rsidRDefault="00147837" w:rsidP="00147837">
      <w:pPr>
        <w:pStyle w:val="NormalWeb"/>
        <w:rPr>
          <w:rFonts w:ascii="Arial" w:hAnsi="Arial" w:cs="Arial"/>
          <w:sz w:val="20"/>
          <w:szCs w:val="20"/>
        </w:rPr>
      </w:pPr>
      <w:r w:rsidRPr="00147837">
        <w:rPr>
          <w:rFonts w:ascii="Arial" w:hAnsi="Arial" w:cs="Arial"/>
          <w:sz w:val="20"/>
          <w:szCs w:val="20"/>
        </w:rPr>
        <w:t>2. As announced in Para 6 of the </w:t>
      </w:r>
      <w:hyperlink r:id="rId43" w:tgtFrame="_blank" w:history="1">
        <w:r w:rsidRPr="00147837">
          <w:rPr>
            <w:rStyle w:val="Hyperlink"/>
            <w:rFonts w:ascii="Arial" w:hAnsi="Arial" w:cs="Arial"/>
            <w:sz w:val="20"/>
            <w:szCs w:val="20"/>
          </w:rPr>
          <w:t>Statement on Developmental and Regulatory Policies issued on August 05, 2022</w:t>
        </w:r>
      </w:hyperlink>
      <w:r w:rsidRPr="00147837">
        <w:rPr>
          <w:rFonts w:ascii="Arial" w:hAnsi="Arial" w:cs="Arial"/>
          <w:sz w:val="20"/>
          <w:szCs w:val="20"/>
        </w:rPr>
        <w:t>, it has been decided to allow foreign inward remittances received under the Rupee Drawing Arrangement (RDA), to be transferred to the KYC compliant bank account of the biller (beneficiary) through Bharat Bill Payment System (BBPS), subject to the conditions mentioned in Para 3 of </w:t>
      </w:r>
      <w:hyperlink r:id="rId44" w:tgtFrame="_blank" w:history="1">
        <w:r w:rsidRPr="00147837">
          <w:rPr>
            <w:rStyle w:val="Hyperlink"/>
            <w:rFonts w:ascii="Arial" w:hAnsi="Arial" w:cs="Arial"/>
            <w:sz w:val="20"/>
            <w:szCs w:val="20"/>
          </w:rPr>
          <w:t>A.P. (DIR Series) Circular No.120 dated April 10, 2014</w:t>
        </w:r>
      </w:hyperlink>
      <w:r w:rsidRPr="00147837">
        <w:rPr>
          <w:rFonts w:ascii="Arial" w:hAnsi="Arial" w:cs="Arial"/>
          <w:sz w:val="20"/>
          <w:szCs w:val="20"/>
        </w:rPr>
        <w:t>.</w:t>
      </w:r>
    </w:p>
    <w:p w:rsidR="00147837" w:rsidRPr="00147837" w:rsidRDefault="00147837" w:rsidP="00147837">
      <w:pPr>
        <w:pStyle w:val="NormalWeb"/>
        <w:rPr>
          <w:rFonts w:ascii="Arial" w:hAnsi="Arial" w:cs="Arial"/>
          <w:sz w:val="20"/>
          <w:szCs w:val="20"/>
        </w:rPr>
      </w:pPr>
      <w:r w:rsidRPr="00147837">
        <w:rPr>
          <w:rFonts w:ascii="Arial" w:hAnsi="Arial" w:cs="Arial"/>
          <w:sz w:val="20"/>
          <w:szCs w:val="20"/>
        </w:rPr>
        <w:t>3. AD Cat-I Banks may bring the contents of this circular to the notice of their constituents concerned.</w:t>
      </w:r>
    </w:p>
    <w:p w:rsidR="00147837" w:rsidRPr="00147837" w:rsidRDefault="00147837" w:rsidP="00147837">
      <w:pPr>
        <w:pStyle w:val="NormalWeb"/>
        <w:rPr>
          <w:rFonts w:ascii="Arial" w:hAnsi="Arial" w:cs="Arial"/>
          <w:sz w:val="20"/>
          <w:szCs w:val="20"/>
        </w:rPr>
      </w:pPr>
      <w:r w:rsidRPr="00147837">
        <w:rPr>
          <w:rFonts w:ascii="Arial" w:hAnsi="Arial" w:cs="Arial"/>
          <w:sz w:val="20"/>
          <w:szCs w:val="20"/>
        </w:rPr>
        <w:t>4. The directions contained in this circular have been issued under Section 10(4) and Section 11(1) of the Foreign Exchange Management Act, 1999 (42 of 1999) and are without prejudice to permissions/approvals, if any, required under any other law.</w:t>
      </w:r>
    </w:p>
    <w:p w:rsidR="00147837" w:rsidRPr="00147837" w:rsidRDefault="00147837" w:rsidP="00147837">
      <w:pPr>
        <w:pStyle w:val="NormalWeb"/>
        <w:spacing w:after="0" w:afterAutospacing="0"/>
        <w:rPr>
          <w:rFonts w:ascii="Arial" w:hAnsi="Arial" w:cs="Arial"/>
          <w:sz w:val="20"/>
          <w:szCs w:val="20"/>
        </w:rPr>
      </w:pPr>
      <w:r w:rsidRPr="00147837">
        <w:rPr>
          <w:rFonts w:ascii="Arial" w:hAnsi="Arial" w:cs="Arial"/>
          <w:sz w:val="20"/>
          <w:szCs w:val="20"/>
        </w:rPr>
        <w:t>Yours faithfully,</w:t>
      </w:r>
    </w:p>
    <w:p w:rsidR="00147837" w:rsidRPr="009F305B" w:rsidRDefault="00147837" w:rsidP="009F305B">
      <w:pPr>
        <w:pStyle w:val="NormalWeb"/>
        <w:spacing w:before="0" w:beforeAutospacing="0"/>
        <w:rPr>
          <w:rFonts w:ascii="Arial" w:hAnsi="Arial" w:cs="Arial"/>
          <w:sz w:val="20"/>
          <w:szCs w:val="20"/>
        </w:rPr>
      </w:pPr>
      <w:r w:rsidRPr="00147837">
        <w:rPr>
          <w:rFonts w:ascii="Arial" w:hAnsi="Arial" w:cs="Arial"/>
          <w:sz w:val="20"/>
          <w:szCs w:val="20"/>
        </w:rPr>
        <w:t>(</w:t>
      </w:r>
      <w:proofErr w:type="spellStart"/>
      <w:r w:rsidRPr="00147837">
        <w:rPr>
          <w:rFonts w:ascii="Arial" w:hAnsi="Arial" w:cs="Arial"/>
          <w:sz w:val="20"/>
          <w:szCs w:val="20"/>
        </w:rPr>
        <w:t>Vivek</w:t>
      </w:r>
      <w:proofErr w:type="spellEnd"/>
      <w:r w:rsidRPr="00147837">
        <w:rPr>
          <w:rFonts w:ascii="Arial" w:hAnsi="Arial" w:cs="Arial"/>
          <w:sz w:val="20"/>
          <w:szCs w:val="20"/>
        </w:rPr>
        <w:t xml:space="preserve"> Srivastava)</w:t>
      </w:r>
      <w:r w:rsidRPr="00147837">
        <w:rPr>
          <w:rFonts w:ascii="Arial" w:hAnsi="Arial" w:cs="Arial"/>
          <w:sz w:val="20"/>
          <w:szCs w:val="20"/>
        </w:rPr>
        <w:br/>
        <w:t>Chief General Manager</w:t>
      </w:r>
    </w:p>
    <w:p w:rsidR="00147837" w:rsidRDefault="00147837" w:rsidP="005D5DB2"/>
    <w:p w:rsidR="00147837" w:rsidRDefault="00147837" w:rsidP="005D5DB2"/>
    <w:p w:rsidR="00147837" w:rsidRPr="00435B25" w:rsidRDefault="00147837" w:rsidP="00147837">
      <w:pPr>
        <w:spacing w:after="0"/>
        <w:rPr>
          <w:rFonts w:ascii="Arial" w:hAnsi="Arial" w:cs="Arial"/>
          <w:sz w:val="20"/>
          <w:szCs w:val="20"/>
        </w:rPr>
      </w:pPr>
      <w:r w:rsidRPr="00435B25">
        <w:rPr>
          <w:rFonts w:ascii="Arial" w:hAnsi="Arial" w:cs="Arial"/>
          <w:sz w:val="20"/>
          <w:szCs w:val="20"/>
        </w:rPr>
        <w:t>More details can be referred to in the below link.</w:t>
      </w:r>
    </w:p>
    <w:p w:rsidR="00147837" w:rsidRDefault="00147837" w:rsidP="009F305B">
      <w:pPr>
        <w:spacing w:after="0"/>
        <w:rPr>
          <w:rFonts w:ascii="Arial" w:hAnsi="Arial" w:cs="Arial"/>
          <w:sz w:val="20"/>
          <w:szCs w:val="20"/>
        </w:rPr>
      </w:pPr>
      <w:r w:rsidRPr="00435B25">
        <w:rPr>
          <w:rFonts w:ascii="Arial" w:hAnsi="Arial" w:cs="Arial"/>
          <w:sz w:val="20"/>
          <w:szCs w:val="20"/>
        </w:rPr>
        <w:t>Reference Link:</w:t>
      </w:r>
      <w:r>
        <w:rPr>
          <w:rFonts w:ascii="Arial" w:hAnsi="Arial" w:cs="Arial"/>
          <w:sz w:val="20"/>
          <w:szCs w:val="20"/>
        </w:rPr>
        <w:t xml:space="preserve"> </w:t>
      </w:r>
      <w:hyperlink r:id="rId45" w:history="1">
        <w:r w:rsidR="009F305B" w:rsidRPr="00200311">
          <w:rPr>
            <w:rStyle w:val="Hyperlink"/>
            <w:rFonts w:ascii="Arial" w:hAnsi="Arial" w:cs="Arial"/>
            <w:sz w:val="20"/>
            <w:szCs w:val="20"/>
          </w:rPr>
          <w:t>https://www.rbi.org.in/scripts/NotificationUser.aspx?Id=12386&amp;Mode=0</w:t>
        </w:r>
      </w:hyperlink>
    </w:p>
    <w:p w:rsidR="009F305B" w:rsidRDefault="009F305B" w:rsidP="009F305B">
      <w:pPr>
        <w:spacing w:after="0"/>
        <w:rPr>
          <w:rFonts w:ascii="Arial" w:hAnsi="Arial" w:cs="Arial"/>
          <w:sz w:val="20"/>
          <w:szCs w:val="20"/>
        </w:rPr>
      </w:pPr>
    </w:p>
    <w:p w:rsidR="009F305B" w:rsidRDefault="009F305B" w:rsidP="009F305B">
      <w:pPr>
        <w:spacing w:after="0"/>
        <w:rPr>
          <w:rFonts w:ascii="Arial" w:hAnsi="Arial" w:cs="Arial"/>
          <w:sz w:val="20"/>
          <w:szCs w:val="20"/>
        </w:rPr>
      </w:pPr>
    </w:p>
    <w:p w:rsidR="009F305B" w:rsidRDefault="009F305B" w:rsidP="009F305B">
      <w:pPr>
        <w:spacing w:after="0"/>
        <w:rPr>
          <w:rFonts w:ascii="Arial" w:hAnsi="Arial" w:cs="Arial"/>
          <w:sz w:val="20"/>
          <w:szCs w:val="20"/>
        </w:rPr>
      </w:pPr>
    </w:p>
    <w:p w:rsidR="009F305B" w:rsidRDefault="009F305B" w:rsidP="009F305B">
      <w:pPr>
        <w:spacing w:after="0"/>
        <w:rPr>
          <w:rFonts w:ascii="Arial" w:hAnsi="Arial" w:cs="Arial"/>
          <w:sz w:val="20"/>
          <w:szCs w:val="20"/>
        </w:rPr>
      </w:pPr>
    </w:p>
    <w:p w:rsidR="009F305B" w:rsidRDefault="009F305B" w:rsidP="009F305B">
      <w:pPr>
        <w:spacing w:after="0"/>
        <w:rPr>
          <w:rFonts w:ascii="Arial" w:hAnsi="Arial" w:cs="Arial"/>
          <w:sz w:val="20"/>
          <w:szCs w:val="20"/>
        </w:rPr>
      </w:pPr>
    </w:p>
    <w:p w:rsidR="009F305B" w:rsidRDefault="009F305B" w:rsidP="009F305B">
      <w:pPr>
        <w:spacing w:after="0"/>
        <w:rPr>
          <w:rFonts w:ascii="Arial" w:hAnsi="Arial" w:cs="Arial"/>
          <w:sz w:val="20"/>
          <w:szCs w:val="20"/>
        </w:rPr>
      </w:pPr>
    </w:p>
    <w:p w:rsidR="009F305B" w:rsidRDefault="009F305B" w:rsidP="009F305B">
      <w:pPr>
        <w:spacing w:after="0"/>
        <w:rPr>
          <w:rFonts w:ascii="Arial" w:hAnsi="Arial" w:cs="Arial"/>
          <w:sz w:val="20"/>
          <w:szCs w:val="20"/>
        </w:rPr>
      </w:pPr>
    </w:p>
    <w:p w:rsidR="009F305B" w:rsidRDefault="009F305B" w:rsidP="009F305B">
      <w:pPr>
        <w:spacing w:after="0"/>
        <w:rPr>
          <w:rFonts w:ascii="Arial" w:hAnsi="Arial" w:cs="Arial"/>
          <w:sz w:val="20"/>
          <w:szCs w:val="20"/>
        </w:rPr>
      </w:pPr>
    </w:p>
    <w:p w:rsidR="009F305B" w:rsidRDefault="009F305B" w:rsidP="009F305B">
      <w:pPr>
        <w:spacing w:after="0"/>
        <w:rPr>
          <w:rFonts w:ascii="Arial" w:hAnsi="Arial" w:cs="Arial"/>
          <w:sz w:val="20"/>
          <w:szCs w:val="20"/>
        </w:rPr>
      </w:pPr>
    </w:p>
    <w:p w:rsidR="009F305B" w:rsidRDefault="009F305B" w:rsidP="009F305B">
      <w:pPr>
        <w:spacing w:after="0"/>
        <w:rPr>
          <w:rFonts w:ascii="Arial" w:hAnsi="Arial" w:cs="Arial"/>
          <w:sz w:val="20"/>
          <w:szCs w:val="20"/>
        </w:rPr>
      </w:pPr>
    </w:p>
    <w:p w:rsidR="009F305B" w:rsidRDefault="009F305B" w:rsidP="009F305B">
      <w:pPr>
        <w:spacing w:after="0"/>
        <w:rPr>
          <w:rFonts w:ascii="Arial" w:hAnsi="Arial" w:cs="Arial"/>
          <w:sz w:val="20"/>
          <w:szCs w:val="20"/>
        </w:rPr>
      </w:pPr>
    </w:p>
    <w:p w:rsidR="009F305B" w:rsidRDefault="009F305B" w:rsidP="009F305B">
      <w:pPr>
        <w:spacing w:after="0"/>
        <w:rPr>
          <w:rFonts w:ascii="Arial" w:hAnsi="Arial" w:cs="Arial"/>
          <w:sz w:val="20"/>
          <w:szCs w:val="20"/>
        </w:rPr>
      </w:pPr>
    </w:p>
    <w:p w:rsidR="009F305B" w:rsidRDefault="009F305B" w:rsidP="009F305B">
      <w:pPr>
        <w:spacing w:after="0"/>
        <w:rPr>
          <w:rFonts w:ascii="Arial" w:hAnsi="Arial" w:cs="Arial"/>
          <w:sz w:val="20"/>
          <w:szCs w:val="20"/>
        </w:rPr>
      </w:pPr>
    </w:p>
    <w:p w:rsidR="000D141C" w:rsidRDefault="000D141C" w:rsidP="009F305B">
      <w:pPr>
        <w:spacing w:after="0"/>
        <w:rPr>
          <w:rFonts w:ascii="Arial" w:hAnsi="Arial" w:cs="Arial"/>
          <w:b/>
          <w:bCs/>
          <w:color w:val="000000"/>
          <w:sz w:val="20"/>
          <w:szCs w:val="20"/>
        </w:rPr>
      </w:pPr>
      <w:r>
        <w:rPr>
          <w:rFonts w:ascii="Arial" w:hAnsi="Arial" w:cs="Arial"/>
          <w:b/>
          <w:bCs/>
          <w:color w:val="000000"/>
          <w:sz w:val="20"/>
          <w:szCs w:val="20"/>
        </w:rPr>
        <w:lastRenderedPageBreak/>
        <w:t>Late Submission Fee for reporting delays under Foreign Exchange Management Act, 1999 (FEMA)</w:t>
      </w:r>
    </w:p>
    <w:p w:rsidR="000D141C" w:rsidRDefault="000D141C" w:rsidP="009F305B">
      <w:pPr>
        <w:spacing w:after="0"/>
        <w:rPr>
          <w:rFonts w:ascii="Arial" w:hAnsi="Arial" w:cs="Arial"/>
          <w:b/>
          <w:bCs/>
          <w:color w:val="000000"/>
          <w:sz w:val="20"/>
          <w:szCs w:val="20"/>
        </w:rPr>
      </w:pPr>
    </w:p>
    <w:p w:rsidR="000D141C" w:rsidRDefault="000D141C" w:rsidP="000D141C">
      <w:pPr>
        <w:pStyle w:val="NormalWeb"/>
        <w:jc w:val="both"/>
        <w:rPr>
          <w:rFonts w:ascii="Arial" w:hAnsi="Arial" w:cs="Arial"/>
          <w:color w:val="000000"/>
          <w:sz w:val="20"/>
          <w:szCs w:val="20"/>
        </w:rPr>
      </w:pPr>
      <w:r>
        <w:rPr>
          <w:rFonts w:ascii="Arial" w:hAnsi="Arial" w:cs="Arial"/>
          <w:color w:val="000000"/>
          <w:sz w:val="20"/>
          <w:szCs w:val="20"/>
        </w:rPr>
        <w:t>RBI/2022-23/122</w:t>
      </w:r>
      <w:r>
        <w:rPr>
          <w:rFonts w:ascii="Arial" w:hAnsi="Arial" w:cs="Arial"/>
          <w:color w:val="000000"/>
          <w:sz w:val="20"/>
          <w:szCs w:val="20"/>
        </w:rPr>
        <w:br/>
        <w:t>A.P. (DIR Series) Circular No. 16</w:t>
      </w:r>
    </w:p>
    <w:p w:rsidR="000D141C" w:rsidRDefault="000D141C" w:rsidP="000D141C">
      <w:pPr>
        <w:pStyle w:val="NormalWeb"/>
        <w:jc w:val="right"/>
        <w:rPr>
          <w:rFonts w:ascii="Arial" w:hAnsi="Arial" w:cs="Arial"/>
          <w:color w:val="000000"/>
          <w:sz w:val="20"/>
          <w:szCs w:val="20"/>
        </w:rPr>
      </w:pPr>
      <w:r>
        <w:rPr>
          <w:rFonts w:ascii="Arial" w:hAnsi="Arial" w:cs="Arial"/>
          <w:color w:val="000000"/>
          <w:sz w:val="20"/>
          <w:szCs w:val="20"/>
        </w:rPr>
        <w:t>September 30, 2022</w:t>
      </w:r>
    </w:p>
    <w:p w:rsidR="000D141C" w:rsidRDefault="000D141C" w:rsidP="000D141C">
      <w:pPr>
        <w:pStyle w:val="NormalWeb"/>
        <w:jc w:val="both"/>
        <w:rPr>
          <w:rFonts w:ascii="Arial" w:hAnsi="Arial" w:cs="Arial"/>
          <w:color w:val="000000"/>
          <w:sz w:val="20"/>
          <w:szCs w:val="20"/>
        </w:rPr>
      </w:pPr>
      <w:r>
        <w:rPr>
          <w:rFonts w:ascii="Arial" w:hAnsi="Arial" w:cs="Arial"/>
          <w:color w:val="000000"/>
          <w:sz w:val="20"/>
          <w:szCs w:val="20"/>
        </w:rPr>
        <w:t>To</w:t>
      </w:r>
      <w:r>
        <w:rPr>
          <w:rFonts w:ascii="Arial" w:hAnsi="Arial" w:cs="Arial"/>
          <w:color w:val="000000"/>
          <w:sz w:val="20"/>
          <w:szCs w:val="20"/>
        </w:rPr>
        <w:br/>
        <w:t>All Category-I Authorised Dealer Banks</w:t>
      </w:r>
    </w:p>
    <w:p w:rsidR="000D141C" w:rsidRDefault="000D141C" w:rsidP="000D141C">
      <w:pPr>
        <w:pStyle w:val="NormalWeb"/>
        <w:jc w:val="both"/>
        <w:rPr>
          <w:rFonts w:ascii="Arial" w:hAnsi="Arial" w:cs="Arial"/>
          <w:color w:val="000000"/>
          <w:sz w:val="20"/>
          <w:szCs w:val="20"/>
        </w:rPr>
      </w:pPr>
      <w:r>
        <w:rPr>
          <w:rFonts w:ascii="Arial" w:hAnsi="Arial" w:cs="Arial"/>
          <w:color w:val="000000"/>
          <w:sz w:val="20"/>
          <w:szCs w:val="20"/>
        </w:rPr>
        <w:t>Madam / Sir</w:t>
      </w:r>
    </w:p>
    <w:p w:rsidR="000D141C" w:rsidRDefault="000D141C" w:rsidP="000D141C">
      <w:pPr>
        <w:pStyle w:val="head"/>
        <w:jc w:val="center"/>
        <w:rPr>
          <w:rFonts w:ascii="Arial" w:hAnsi="Arial" w:cs="Arial"/>
          <w:b/>
          <w:bCs/>
          <w:color w:val="000000"/>
          <w:sz w:val="20"/>
          <w:szCs w:val="20"/>
        </w:rPr>
      </w:pPr>
      <w:r>
        <w:rPr>
          <w:rFonts w:ascii="Arial" w:hAnsi="Arial" w:cs="Arial"/>
          <w:b/>
          <w:bCs/>
          <w:color w:val="000000"/>
          <w:sz w:val="20"/>
          <w:szCs w:val="20"/>
        </w:rPr>
        <w:t>Late Submission Fee for reporting delays under Foreign Exchange Management Act, 1999 (FEMA)</w:t>
      </w:r>
    </w:p>
    <w:p w:rsidR="000D141C" w:rsidRDefault="000D141C" w:rsidP="000D141C">
      <w:pPr>
        <w:pStyle w:val="NormalWeb"/>
        <w:jc w:val="both"/>
        <w:rPr>
          <w:rFonts w:ascii="Arial" w:hAnsi="Arial" w:cs="Arial"/>
          <w:color w:val="000000"/>
          <w:sz w:val="20"/>
          <w:szCs w:val="20"/>
        </w:rPr>
      </w:pPr>
      <w:r>
        <w:rPr>
          <w:rFonts w:ascii="Arial" w:hAnsi="Arial" w:cs="Arial"/>
          <w:color w:val="000000"/>
          <w:sz w:val="20"/>
          <w:szCs w:val="20"/>
        </w:rPr>
        <w:t>The Late Submission Fee (LSF) was introduced for reporting delays in Foreign Investment (FI), External Commercial Borrowings (ECBs) and Overseas Investment related transactions with effect from November 07, 2017, January 16, 2019 and August 22, 2022 respectively. It has now been decided to bring uniformity in imposition of LSF across functions. The following matrix shall be used henceforth for calculation of LSF, wherever applicable:</w:t>
      </w:r>
    </w:p>
    <w:tbl>
      <w:tblPr>
        <w:tblW w:w="44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6"/>
        <w:gridCol w:w="5344"/>
        <w:gridCol w:w="1885"/>
      </w:tblGrid>
      <w:tr w:rsidR="00467894" w:rsidTr="00467894">
        <w:tc>
          <w:tcPr>
            <w:tcW w:w="524" w:type="pct"/>
            <w:tcMar>
              <w:top w:w="0" w:type="dxa"/>
              <w:left w:w="45" w:type="dxa"/>
              <w:bottom w:w="0" w:type="dxa"/>
              <w:right w:w="45" w:type="dxa"/>
            </w:tcMar>
            <w:vAlign w:val="center"/>
            <w:hideMark/>
          </w:tcPr>
          <w:p w:rsidR="000D141C" w:rsidRDefault="000D141C">
            <w:pPr>
              <w:spacing w:line="240" w:lineRule="auto"/>
              <w:jc w:val="center"/>
              <w:rPr>
                <w:rFonts w:ascii="Arial" w:hAnsi="Arial" w:cs="Arial"/>
                <w:b/>
                <w:bCs/>
                <w:color w:val="000000"/>
                <w:sz w:val="20"/>
                <w:szCs w:val="20"/>
              </w:rPr>
            </w:pPr>
            <w:r>
              <w:rPr>
                <w:rFonts w:ascii="Arial" w:hAnsi="Arial" w:cs="Arial"/>
                <w:b/>
                <w:bCs/>
                <w:color w:val="000000"/>
                <w:sz w:val="20"/>
                <w:szCs w:val="20"/>
              </w:rPr>
              <w:t>Sr. No.</w:t>
            </w:r>
          </w:p>
        </w:tc>
        <w:tc>
          <w:tcPr>
            <w:tcW w:w="3309" w:type="pct"/>
            <w:tcMar>
              <w:top w:w="0" w:type="dxa"/>
              <w:left w:w="45" w:type="dxa"/>
              <w:bottom w:w="0" w:type="dxa"/>
              <w:right w:w="45" w:type="dxa"/>
            </w:tcMar>
            <w:vAlign w:val="center"/>
            <w:hideMark/>
          </w:tcPr>
          <w:p w:rsidR="000D141C" w:rsidRDefault="000D141C">
            <w:pPr>
              <w:jc w:val="center"/>
              <w:rPr>
                <w:rFonts w:ascii="Arial" w:hAnsi="Arial" w:cs="Arial"/>
                <w:b/>
                <w:bCs/>
                <w:color w:val="000000"/>
                <w:sz w:val="20"/>
                <w:szCs w:val="20"/>
              </w:rPr>
            </w:pPr>
            <w:r>
              <w:rPr>
                <w:rFonts w:ascii="Arial" w:hAnsi="Arial" w:cs="Arial"/>
                <w:b/>
                <w:bCs/>
                <w:color w:val="000000"/>
                <w:sz w:val="20"/>
                <w:szCs w:val="20"/>
              </w:rPr>
              <w:t>Type of Reporting delays</w:t>
            </w:r>
          </w:p>
        </w:tc>
        <w:tc>
          <w:tcPr>
            <w:tcW w:w="1167" w:type="pct"/>
            <w:tcMar>
              <w:top w:w="0" w:type="dxa"/>
              <w:left w:w="45" w:type="dxa"/>
              <w:bottom w:w="0" w:type="dxa"/>
              <w:right w:w="45" w:type="dxa"/>
            </w:tcMar>
            <w:vAlign w:val="center"/>
            <w:hideMark/>
          </w:tcPr>
          <w:p w:rsidR="000D141C" w:rsidRDefault="000D141C">
            <w:pPr>
              <w:jc w:val="center"/>
              <w:rPr>
                <w:rFonts w:ascii="Arial" w:hAnsi="Arial" w:cs="Arial"/>
                <w:b/>
                <w:bCs/>
                <w:color w:val="000000"/>
                <w:sz w:val="20"/>
                <w:szCs w:val="20"/>
              </w:rPr>
            </w:pPr>
            <w:r>
              <w:rPr>
                <w:rFonts w:ascii="Arial" w:hAnsi="Arial" w:cs="Arial"/>
                <w:b/>
                <w:bCs/>
                <w:color w:val="000000"/>
                <w:sz w:val="20"/>
                <w:szCs w:val="20"/>
              </w:rPr>
              <w:t>LSF Amount (INR)</w:t>
            </w:r>
          </w:p>
        </w:tc>
      </w:tr>
      <w:tr w:rsidR="00467894" w:rsidTr="00467894">
        <w:tc>
          <w:tcPr>
            <w:tcW w:w="524" w:type="pct"/>
            <w:tcMar>
              <w:top w:w="0" w:type="dxa"/>
              <w:left w:w="45" w:type="dxa"/>
              <w:bottom w:w="0" w:type="dxa"/>
              <w:right w:w="45" w:type="dxa"/>
            </w:tcMar>
            <w:vAlign w:val="center"/>
            <w:hideMark/>
          </w:tcPr>
          <w:p w:rsidR="000D141C" w:rsidRDefault="000D141C">
            <w:pPr>
              <w:jc w:val="center"/>
              <w:rPr>
                <w:rFonts w:ascii="Arial" w:hAnsi="Arial" w:cs="Arial"/>
                <w:color w:val="000000"/>
                <w:sz w:val="20"/>
                <w:szCs w:val="20"/>
              </w:rPr>
            </w:pPr>
            <w:r>
              <w:rPr>
                <w:rFonts w:ascii="Arial" w:hAnsi="Arial" w:cs="Arial"/>
                <w:color w:val="000000"/>
                <w:sz w:val="20"/>
                <w:szCs w:val="20"/>
              </w:rPr>
              <w:t>1</w:t>
            </w:r>
          </w:p>
        </w:tc>
        <w:tc>
          <w:tcPr>
            <w:tcW w:w="3309" w:type="pct"/>
            <w:tcMar>
              <w:top w:w="0" w:type="dxa"/>
              <w:left w:w="45" w:type="dxa"/>
              <w:bottom w:w="0" w:type="dxa"/>
              <w:right w:w="45" w:type="dxa"/>
            </w:tcMar>
            <w:vAlign w:val="center"/>
            <w:hideMark/>
          </w:tcPr>
          <w:p w:rsidR="000D141C" w:rsidRDefault="000D141C">
            <w:pPr>
              <w:jc w:val="both"/>
              <w:rPr>
                <w:rFonts w:ascii="Arial" w:hAnsi="Arial" w:cs="Arial"/>
                <w:color w:val="000000"/>
                <w:sz w:val="20"/>
                <w:szCs w:val="20"/>
              </w:rPr>
            </w:pPr>
            <w:r>
              <w:rPr>
                <w:rFonts w:ascii="Arial" w:hAnsi="Arial" w:cs="Arial"/>
                <w:color w:val="000000"/>
                <w:sz w:val="20"/>
                <w:szCs w:val="20"/>
              </w:rPr>
              <w:t>Form ODI Part-II/ APR, FCGPR (B), FLA Returns, Form OPI, evidence of investment or any other return which does not capture flows or any other periodical reporting</w:t>
            </w:r>
          </w:p>
        </w:tc>
        <w:tc>
          <w:tcPr>
            <w:tcW w:w="1167" w:type="pct"/>
            <w:tcMar>
              <w:top w:w="0" w:type="dxa"/>
              <w:left w:w="45" w:type="dxa"/>
              <w:bottom w:w="0" w:type="dxa"/>
              <w:right w:w="45" w:type="dxa"/>
            </w:tcMar>
            <w:vAlign w:val="center"/>
            <w:hideMark/>
          </w:tcPr>
          <w:p w:rsidR="000D141C" w:rsidRDefault="000D141C">
            <w:pPr>
              <w:jc w:val="center"/>
              <w:rPr>
                <w:rFonts w:ascii="Arial" w:hAnsi="Arial" w:cs="Arial"/>
                <w:color w:val="000000"/>
                <w:sz w:val="20"/>
                <w:szCs w:val="20"/>
              </w:rPr>
            </w:pPr>
            <w:r>
              <w:rPr>
                <w:rFonts w:ascii="Arial" w:hAnsi="Arial" w:cs="Arial"/>
                <w:color w:val="000000"/>
                <w:sz w:val="20"/>
                <w:szCs w:val="20"/>
              </w:rPr>
              <w:t>7500</w:t>
            </w:r>
          </w:p>
        </w:tc>
      </w:tr>
      <w:tr w:rsidR="00467894" w:rsidTr="00467894">
        <w:tc>
          <w:tcPr>
            <w:tcW w:w="524" w:type="pct"/>
            <w:tcMar>
              <w:top w:w="0" w:type="dxa"/>
              <w:left w:w="45" w:type="dxa"/>
              <w:bottom w:w="0" w:type="dxa"/>
              <w:right w:w="45" w:type="dxa"/>
            </w:tcMar>
            <w:vAlign w:val="center"/>
            <w:hideMark/>
          </w:tcPr>
          <w:p w:rsidR="000D141C" w:rsidRDefault="000D141C">
            <w:pPr>
              <w:jc w:val="center"/>
              <w:rPr>
                <w:rFonts w:ascii="Arial" w:hAnsi="Arial" w:cs="Arial"/>
                <w:color w:val="000000"/>
                <w:sz w:val="20"/>
                <w:szCs w:val="20"/>
              </w:rPr>
            </w:pPr>
            <w:r>
              <w:rPr>
                <w:rFonts w:ascii="Arial" w:hAnsi="Arial" w:cs="Arial"/>
                <w:color w:val="000000"/>
                <w:sz w:val="20"/>
                <w:szCs w:val="20"/>
              </w:rPr>
              <w:t>2</w:t>
            </w:r>
          </w:p>
        </w:tc>
        <w:tc>
          <w:tcPr>
            <w:tcW w:w="3309" w:type="pct"/>
            <w:tcMar>
              <w:top w:w="0" w:type="dxa"/>
              <w:left w:w="45" w:type="dxa"/>
              <w:bottom w:w="0" w:type="dxa"/>
              <w:right w:w="45" w:type="dxa"/>
            </w:tcMar>
            <w:vAlign w:val="center"/>
            <w:hideMark/>
          </w:tcPr>
          <w:p w:rsidR="000D141C" w:rsidRDefault="000D141C">
            <w:pPr>
              <w:jc w:val="both"/>
              <w:rPr>
                <w:rFonts w:ascii="Arial" w:hAnsi="Arial" w:cs="Arial"/>
                <w:color w:val="000000"/>
                <w:sz w:val="20"/>
                <w:szCs w:val="20"/>
              </w:rPr>
            </w:pPr>
            <w:r>
              <w:rPr>
                <w:rFonts w:ascii="Arial" w:hAnsi="Arial" w:cs="Arial"/>
                <w:color w:val="000000"/>
                <w:sz w:val="20"/>
                <w:szCs w:val="20"/>
              </w:rPr>
              <w:t xml:space="preserve">FC-GPR, FCTRS, Form ESOP, Form LLP(I), Form LLP(II), Form CN, Form DI, Form </w:t>
            </w:r>
            <w:proofErr w:type="spellStart"/>
            <w:r>
              <w:rPr>
                <w:rFonts w:ascii="Arial" w:hAnsi="Arial" w:cs="Arial"/>
                <w:color w:val="000000"/>
                <w:sz w:val="20"/>
                <w:szCs w:val="20"/>
              </w:rPr>
              <w:t>InVi</w:t>
            </w:r>
            <w:proofErr w:type="spellEnd"/>
            <w:r>
              <w:rPr>
                <w:rFonts w:ascii="Arial" w:hAnsi="Arial" w:cs="Arial"/>
                <w:color w:val="000000"/>
                <w:sz w:val="20"/>
                <w:szCs w:val="20"/>
              </w:rPr>
              <w:t>, Form ODI-Part I, Form ODI-Part III, Form FC, Form ECB, Form ECB-2, Revised Form ECB or any other return which captures flows or returns which capture reporting of non-fund transactions or any other transactional reporting</w:t>
            </w:r>
          </w:p>
        </w:tc>
        <w:tc>
          <w:tcPr>
            <w:tcW w:w="1167" w:type="pct"/>
            <w:tcMar>
              <w:top w:w="0" w:type="dxa"/>
              <w:left w:w="45" w:type="dxa"/>
              <w:bottom w:w="0" w:type="dxa"/>
              <w:right w:w="45" w:type="dxa"/>
            </w:tcMar>
            <w:vAlign w:val="center"/>
            <w:hideMark/>
          </w:tcPr>
          <w:p w:rsidR="000D141C" w:rsidRDefault="000D141C">
            <w:pPr>
              <w:jc w:val="center"/>
              <w:rPr>
                <w:rFonts w:ascii="Arial" w:hAnsi="Arial" w:cs="Arial"/>
                <w:color w:val="000000"/>
                <w:sz w:val="20"/>
                <w:szCs w:val="20"/>
              </w:rPr>
            </w:pPr>
            <w:r>
              <w:rPr>
                <w:rFonts w:ascii="Arial" w:hAnsi="Arial" w:cs="Arial"/>
                <w:color w:val="000000"/>
                <w:sz w:val="20"/>
                <w:szCs w:val="20"/>
              </w:rPr>
              <w:t>[7500 + (0.025% × A × n)]</w:t>
            </w:r>
          </w:p>
        </w:tc>
      </w:tr>
    </w:tbl>
    <w:p w:rsidR="000D141C" w:rsidRDefault="000D141C" w:rsidP="000D141C">
      <w:pPr>
        <w:pStyle w:val="NormalWeb"/>
        <w:jc w:val="both"/>
        <w:rPr>
          <w:rFonts w:ascii="Arial" w:hAnsi="Arial" w:cs="Arial"/>
          <w:color w:val="000000"/>
          <w:sz w:val="20"/>
          <w:szCs w:val="20"/>
        </w:rPr>
      </w:pPr>
      <w:r>
        <w:rPr>
          <w:rFonts w:ascii="Arial" w:hAnsi="Arial" w:cs="Arial"/>
          <w:color w:val="000000"/>
          <w:sz w:val="20"/>
          <w:szCs w:val="20"/>
        </w:rPr>
        <w:t>2. The above provisions shall come into effect immediately for the delayed filings made on or after the date of this circular.</w:t>
      </w:r>
    </w:p>
    <w:p w:rsidR="000D141C" w:rsidRDefault="000D141C" w:rsidP="000D141C">
      <w:pPr>
        <w:pStyle w:val="NormalWeb"/>
        <w:jc w:val="both"/>
        <w:rPr>
          <w:rFonts w:ascii="Arial" w:hAnsi="Arial" w:cs="Arial"/>
          <w:color w:val="000000"/>
          <w:sz w:val="20"/>
          <w:szCs w:val="20"/>
        </w:rPr>
      </w:pPr>
      <w:r>
        <w:rPr>
          <w:rFonts w:ascii="Arial" w:hAnsi="Arial" w:cs="Arial"/>
          <w:color w:val="000000"/>
          <w:sz w:val="20"/>
          <w:szCs w:val="20"/>
        </w:rPr>
        <w:t xml:space="preserve">3. All other provisions of reporting under FEMA remain unchanged. AD Category - I </w:t>
      </w:r>
      <w:proofErr w:type="gramStart"/>
      <w:r>
        <w:rPr>
          <w:rFonts w:ascii="Arial" w:hAnsi="Arial" w:cs="Arial"/>
          <w:color w:val="000000"/>
          <w:sz w:val="20"/>
          <w:szCs w:val="20"/>
        </w:rPr>
        <w:t>banks</w:t>
      </w:r>
      <w:proofErr w:type="gramEnd"/>
      <w:r>
        <w:rPr>
          <w:rFonts w:ascii="Arial" w:hAnsi="Arial" w:cs="Arial"/>
          <w:color w:val="000000"/>
          <w:sz w:val="20"/>
          <w:szCs w:val="20"/>
        </w:rPr>
        <w:t xml:space="preserve"> should bring the contents of this circular to the notice of their constituents and customers.</w:t>
      </w:r>
    </w:p>
    <w:p w:rsidR="000D141C" w:rsidRDefault="000D141C" w:rsidP="000D141C">
      <w:pPr>
        <w:pStyle w:val="NormalWeb"/>
        <w:jc w:val="both"/>
        <w:rPr>
          <w:rFonts w:ascii="Arial" w:hAnsi="Arial" w:cs="Arial"/>
          <w:color w:val="000000"/>
          <w:sz w:val="20"/>
          <w:szCs w:val="20"/>
        </w:rPr>
      </w:pPr>
      <w:r>
        <w:rPr>
          <w:rFonts w:ascii="Arial" w:hAnsi="Arial" w:cs="Arial"/>
          <w:color w:val="000000"/>
          <w:sz w:val="20"/>
          <w:szCs w:val="20"/>
        </w:rPr>
        <w:t>4. The ‘</w:t>
      </w:r>
      <w:hyperlink r:id="rId46" w:tgtFrame="_blank" w:history="1">
        <w:r>
          <w:rPr>
            <w:rStyle w:val="Hyperlink"/>
            <w:rFonts w:ascii="Arial" w:hAnsi="Arial" w:cs="Arial"/>
            <w:sz w:val="20"/>
            <w:szCs w:val="20"/>
          </w:rPr>
          <w:t>Master Direction – Reporting under Foreign Exchange Management Act, 1999</w:t>
        </w:r>
      </w:hyperlink>
      <w:r>
        <w:rPr>
          <w:rFonts w:ascii="Arial" w:hAnsi="Arial" w:cs="Arial"/>
          <w:color w:val="000000"/>
          <w:sz w:val="20"/>
          <w:szCs w:val="20"/>
        </w:rPr>
        <w:t>’ and ‘</w:t>
      </w:r>
      <w:hyperlink r:id="rId47" w:tgtFrame="_blank" w:history="1">
        <w:r>
          <w:rPr>
            <w:rStyle w:val="Hyperlink"/>
            <w:rFonts w:ascii="Arial" w:hAnsi="Arial" w:cs="Arial"/>
            <w:sz w:val="20"/>
            <w:szCs w:val="20"/>
          </w:rPr>
          <w:t>Master Direction - External Commercial Borrowings, Trade Credits and Structured Obligations</w:t>
        </w:r>
      </w:hyperlink>
      <w:r>
        <w:rPr>
          <w:rFonts w:ascii="Arial" w:hAnsi="Arial" w:cs="Arial"/>
          <w:color w:val="000000"/>
          <w:sz w:val="20"/>
          <w:szCs w:val="20"/>
        </w:rPr>
        <w:t>’ are being updated to reflect the changes.</w:t>
      </w:r>
    </w:p>
    <w:p w:rsidR="000D141C" w:rsidRDefault="000D141C" w:rsidP="00467894">
      <w:pPr>
        <w:pStyle w:val="NormalWeb"/>
        <w:spacing w:after="0" w:afterAutospacing="0"/>
        <w:rPr>
          <w:rFonts w:ascii="Arial" w:hAnsi="Arial" w:cs="Arial"/>
          <w:color w:val="000000"/>
          <w:sz w:val="20"/>
          <w:szCs w:val="20"/>
        </w:rPr>
      </w:pPr>
      <w:r>
        <w:rPr>
          <w:rFonts w:ascii="Arial" w:hAnsi="Arial" w:cs="Arial"/>
          <w:color w:val="000000"/>
          <w:sz w:val="20"/>
          <w:szCs w:val="20"/>
        </w:rPr>
        <w:t>Yours faithfully</w:t>
      </w:r>
    </w:p>
    <w:p w:rsidR="000D141C" w:rsidRDefault="000D141C" w:rsidP="00467894">
      <w:pPr>
        <w:pStyle w:val="NormalWeb"/>
        <w:rPr>
          <w:rFonts w:ascii="Arial" w:hAnsi="Arial" w:cs="Arial"/>
          <w:color w:val="000000"/>
          <w:sz w:val="20"/>
          <w:szCs w:val="20"/>
        </w:rPr>
      </w:pPr>
      <w:r>
        <w:rPr>
          <w:rFonts w:ascii="Arial" w:hAnsi="Arial" w:cs="Arial"/>
          <w:color w:val="000000"/>
          <w:sz w:val="20"/>
          <w:szCs w:val="20"/>
        </w:rPr>
        <w:t xml:space="preserve">Ajay Kumar </w:t>
      </w:r>
      <w:proofErr w:type="spellStart"/>
      <w:r>
        <w:rPr>
          <w:rFonts w:ascii="Arial" w:hAnsi="Arial" w:cs="Arial"/>
          <w:color w:val="000000"/>
          <w:sz w:val="20"/>
          <w:szCs w:val="20"/>
        </w:rPr>
        <w:t>Misra</w:t>
      </w:r>
      <w:proofErr w:type="spellEnd"/>
      <w:r>
        <w:rPr>
          <w:rFonts w:ascii="Arial" w:hAnsi="Arial" w:cs="Arial"/>
          <w:color w:val="000000"/>
          <w:sz w:val="20"/>
          <w:szCs w:val="20"/>
        </w:rPr>
        <w:br/>
        <w:t>Chief General Manager-in-Charge</w:t>
      </w:r>
    </w:p>
    <w:p w:rsidR="000D141C" w:rsidRDefault="000D141C" w:rsidP="009F305B">
      <w:pPr>
        <w:spacing w:after="0"/>
        <w:rPr>
          <w:rFonts w:ascii="Arial" w:hAnsi="Arial" w:cs="Arial"/>
          <w:b/>
          <w:bCs/>
          <w:color w:val="000000"/>
          <w:sz w:val="20"/>
          <w:szCs w:val="20"/>
        </w:rPr>
      </w:pPr>
    </w:p>
    <w:p w:rsidR="000D141C" w:rsidRDefault="000D141C" w:rsidP="009F305B">
      <w:pPr>
        <w:spacing w:after="0"/>
        <w:rPr>
          <w:rFonts w:ascii="Arial" w:hAnsi="Arial" w:cs="Arial"/>
          <w:b/>
          <w:bCs/>
          <w:color w:val="000000"/>
          <w:sz w:val="20"/>
          <w:szCs w:val="20"/>
        </w:rPr>
      </w:pPr>
    </w:p>
    <w:p w:rsidR="00467894" w:rsidRPr="00435B25" w:rsidRDefault="00467894" w:rsidP="00467894">
      <w:pPr>
        <w:spacing w:after="0"/>
        <w:rPr>
          <w:rFonts w:ascii="Arial" w:hAnsi="Arial" w:cs="Arial"/>
          <w:sz w:val="20"/>
          <w:szCs w:val="20"/>
        </w:rPr>
      </w:pPr>
      <w:r w:rsidRPr="00435B25">
        <w:rPr>
          <w:rFonts w:ascii="Arial" w:hAnsi="Arial" w:cs="Arial"/>
          <w:sz w:val="20"/>
          <w:szCs w:val="20"/>
        </w:rPr>
        <w:t>More details can be referred to in the below link.</w:t>
      </w:r>
    </w:p>
    <w:p w:rsidR="000D141C" w:rsidRDefault="00467894" w:rsidP="00467894">
      <w:pPr>
        <w:spacing w:after="0"/>
        <w:rPr>
          <w:rFonts w:ascii="Arial" w:hAnsi="Arial" w:cs="Arial"/>
          <w:sz w:val="20"/>
          <w:szCs w:val="20"/>
        </w:rPr>
      </w:pPr>
      <w:r w:rsidRPr="00435B25">
        <w:rPr>
          <w:rFonts w:ascii="Arial" w:hAnsi="Arial" w:cs="Arial"/>
          <w:sz w:val="20"/>
          <w:szCs w:val="20"/>
        </w:rPr>
        <w:t>Reference Link:</w:t>
      </w:r>
      <w:r>
        <w:rPr>
          <w:rFonts w:ascii="Arial" w:hAnsi="Arial" w:cs="Arial"/>
          <w:sz w:val="20"/>
          <w:szCs w:val="20"/>
        </w:rPr>
        <w:t xml:space="preserve"> </w:t>
      </w:r>
      <w:hyperlink r:id="rId48" w:history="1">
        <w:r w:rsidRPr="009517FA">
          <w:rPr>
            <w:rStyle w:val="Hyperlink"/>
            <w:rFonts w:ascii="Arial" w:hAnsi="Arial" w:cs="Arial"/>
            <w:sz w:val="20"/>
            <w:szCs w:val="20"/>
          </w:rPr>
          <w:t>https://www.rbi.org.in/scripts/NotificationUser.aspx?Id=12393&amp;Mode=0</w:t>
        </w:r>
      </w:hyperlink>
    </w:p>
    <w:p w:rsidR="00467894" w:rsidRDefault="00467894" w:rsidP="009F305B">
      <w:pPr>
        <w:spacing w:after="0"/>
        <w:rPr>
          <w:rFonts w:ascii="Arial" w:hAnsi="Arial" w:cs="Arial"/>
          <w:b/>
          <w:bCs/>
          <w:color w:val="000000"/>
          <w:sz w:val="20"/>
          <w:szCs w:val="20"/>
        </w:rPr>
      </w:pPr>
    </w:p>
    <w:p w:rsidR="00467894" w:rsidRDefault="00467894" w:rsidP="009F305B">
      <w:pPr>
        <w:spacing w:after="0"/>
        <w:rPr>
          <w:rFonts w:ascii="Arial" w:hAnsi="Arial" w:cs="Arial"/>
          <w:b/>
          <w:bCs/>
          <w:color w:val="000000"/>
          <w:sz w:val="20"/>
          <w:szCs w:val="20"/>
        </w:rPr>
      </w:pPr>
    </w:p>
    <w:p w:rsidR="009F305B" w:rsidRDefault="009F305B" w:rsidP="009F305B">
      <w:pPr>
        <w:spacing w:after="0"/>
        <w:rPr>
          <w:rFonts w:ascii="Arial" w:hAnsi="Arial" w:cs="Arial"/>
          <w:b/>
          <w:bCs/>
          <w:color w:val="000000"/>
          <w:sz w:val="20"/>
          <w:szCs w:val="20"/>
        </w:rPr>
      </w:pPr>
      <w:bookmarkStart w:id="0" w:name="_GoBack"/>
      <w:bookmarkEnd w:id="0"/>
      <w:r>
        <w:rPr>
          <w:rFonts w:ascii="Arial" w:hAnsi="Arial" w:cs="Arial"/>
          <w:b/>
          <w:bCs/>
          <w:color w:val="000000"/>
          <w:sz w:val="20"/>
          <w:szCs w:val="20"/>
        </w:rPr>
        <w:lastRenderedPageBreak/>
        <w:t>Notification of Significant Benchmark</w:t>
      </w:r>
    </w:p>
    <w:p w:rsidR="005A38FC" w:rsidRDefault="005A38FC" w:rsidP="005A38FC">
      <w:pPr>
        <w:pStyle w:val="NormalWeb"/>
        <w:jc w:val="both"/>
        <w:rPr>
          <w:rFonts w:ascii="Arial" w:hAnsi="Arial" w:cs="Arial"/>
          <w:color w:val="000000"/>
          <w:sz w:val="20"/>
          <w:szCs w:val="20"/>
        </w:rPr>
      </w:pPr>
      <w:r>
        <w:rPr>
          <w:rFonts w:ascii="Arial" w:hAnsi="Arial" w:cs="Arial"/>
          <w:color w:val="000000"/>
          <w:sz w:val="20"/>
          <w:szCs w:val="20"/>
        </w:rPr>
        <w:t>RBI/2022-23/142</w:t>
      </w:r>
      <w:r>
        <w:rPr>
          <w:rFonts w:ascii="Arial" w:hAnsi="Arial" w:cs="Arial"/>
          <w:color w:val="000000"/>
          <w:sz w:val="20"/>
          <w:szCs w:val="20"/>
        </w:rPr>
        <w:br/>
        <w:t>FMRD.FMSD.06/03.07.25/2022-23</w:t>
      </w:r>
    </w:p>
    <w:p w:rsidR="005A38FC" w:rsidRDefault="005A38FC" w:rsidP="005A38FC">
      <w:pPr>
        <w:pStyle w:val="NormalWeb"/>
        <w:jc w:val="right"/>
        <w:rPr>
          <w:rFonts w:ascii="Arial" w:hAnsi="Arial" w:cs="Arial"/>
          <w:color w:val="000000"/>
          <w:sz w:val="20"/>
          <w:szCs w:val="20"/>
        </w:rPr>
      </w:pPr>
      <w:r>
        <w:rPr>
          <w:rFonts w:ascii="Arial" w:hAnsi="Arial" w:cs="Arial"/>
          <w:color w:val="000000"/>
          <w:sz w:val="20"/>
          <w:szCs w:val="20"/>
        </w:rPr>
        <w:t>December 01, 2022</w:t>
      </w:r>
    </w:p>
    <w:p w:rsidR="005A38FC" w:rsidRDefault="005A38FC" w:rsidP="005A38FC">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To</w:t>
      </w:r>
    </w:p>
    <w:p w:rsidR="005A38FC" w:rsidRDefault="005A38FC" w:rsidP="005A38FC">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All the Financial Benchmark Administrators</w:t>
      </w:r>
    </w:p>
    <w:p w:rsidR="005A38FC" w:rsidRDefault="005A38FC" w:rsidP="005A38FC">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Madam/Sir</w:t>
      </w:r>
    </w:p>
    <w:p w:rsidR="005A38FC" w:rsidRDefault="005A38FC" w:rsidP="005A38FC">
      <w:pPr>
        <w:pStyle w:val="head"/>
        <w:jc w:val="center"/>
        <w:rPr>
          <w:rFonts w:ascii="Arial" w:hAnsi="Arial" w:cs="Arial"/>
          <w:b/>
          <w:bCs/>
          <w:color w:val="000000"/>
          <w:sz w:val="20"/>
          <w:szCs w:val="20"/>
        </w:rPr>
      </w:pPr>
      <w:r>
        <w:rPr>
          <w:rFonts w:ascii="Arial" w:hAnsi="Arial" w:cs="Arial"/>
          <w:b/>
          <w:bCs/>
          <w:color w:val="000000"/>
          <w:sz w:val="20"/>
          <w:szCs w:val="20"/>
        </w:rPr>
        <w:t>Notification of Significant Benchmark</w:t>
      </w:r>
    </w:p>
    <w:p w:rsidR="005A38FC" w:rsidRDefault="005A38FC" w:rsidP="005A38FC">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49" w:tgtFrame="_blank" w:history="1">
        <w:r>
          <w:rPr>
            <w:rStyle w:val="Hyperlink"/>
            <w:rFonts w:ascii="Arial" w:hAnsi="Arial" w:cs="Arial"/>
            <w:sz w:val="20"/>
            <w:szCs w:val="20"/>
          </w:rPr>
          <w:t>Financial Benchmark Administrators (Reserve Bank) Directions, 2019 (hereinafter referred to as ‘the Directions’), dated June 26, 2019 </w:t>
        </w:r>
      </w:hyperlink>
      <w:r>
        <w:rPr>
          <w:rFonts w:ascii="Arial" w:hAnsi="Arial" w:cs="Arial"/>
          <w:color w:val="000000"/>
          <w:sz w:val="20"/>
          <w:szCs w:val="20"/>
        </w:rPr>
        <w:t>and </w:t>
      </w:r>
      <w:hyperlink r:id="rId50" w:tgtFrame="_blank" w:history="1">
        <w:r>
          <w:rPr>
            <w:rStyle w:val="Hyperlink"/>
            <w:rFonts w:ascii="Arial" w:hAnsi="Arial" w:cs="Arial"/>
            <w:sz w:val="20"/>
            <w:szCs w:val="20"/>
          </w:rPr>
          <w:t>RBI circular dated January 01, 2020</w:t>
        </w:r>
      </w:hyperlink>
      <w:r>
        <w:rPr>
          <w:rFonts w:ascii="Arial" w:hAnsi="Arial" w:cs="Arial"/>
          <w:color w:val="000000"/>
          <w:sz w:val="20"/>
          <w:szCs w:val="20"/>
        </w:rPr>
        <w:t xml:space="preserve">, notifying six financial benchmarks administered by Financial Benchmarks India </w:t>
      </w:r>
      <w:proofErr w:type="spellStart"/>
      <w:r>
        <w:rPr>
          <w:rFonts w:ascii="Arial" w:hAnsi="Arial" w:cs="Arial"/>
          <w:color w:val="000000"/>
          <w:sz w:val="20"/>
          <w:szCs w:val="20"/>
        </w:rPr>
        <w:t>Pvt.</w:t>
      </w:r>
      <w:proofErr w:type="spellEnd"/>
      <w:r>
        <w:rPr>
          <w:rFonts w:ascii="Arial" w:hAnsi="Arial" w:cs="Arial"/>
          <w:color w:val="000000"/>
          <w:sz w:val="20"/>
          <w:szCs w:val="20"/>
        </w:rPr>
        <w:t xml:space="preserve"> Ltd. (FBIL) as ‘significant benchmark’.</w:t>
      </w:r>
    </w:p>
    <w:p w:rsidR="005A38FC" w:rsidRDefault="005A38FC" w:rsidP="005A38FC">
      <w:pPr>
        <w:pStyle w:val="NormalWeb"/>
        <w:jc w:val="both"/>
        <w:rPr>
          <w:rFonts w:ascii="Arial" w:hAnsi="Arial" w:cs="Arial"/>
          <w:color w:val="000000"/>
          <w:sz w:val="20"/>
          <w:szCs w:val="20"/>
        </w:rPr>
      </w:pPr>
      <w:r>
        <w:rPr>
          <w:rFonts w:ascii="Arial" w:hAnsi="Arial" w:cs="Arial"/>
          <w:color w:val="000000"/>
          <w:sz w:val="20"/>
          <w:szCs w:val="20"/>
        </w:rPr>
        <w:t>2. In terms of paragraph 3(</w:t>
      </w:r>
      <w:proofErr w:type="spellStart"/>
      <w:r>
        <w:rPr>
          <w:rFonts w:ascii="Arial" w:hAnsi="Arial" w:cs="Arial"/>
          <w:color w:val="000000"/>
          <w:sz w:val="20"/>
          <w:szCs w:val="20"/>
        </w:rPr>
        <w:t>i</w:t>
      </w:r>
      <w:proofErr w:type="spellEnd"/>
      <w:r>
        <w:rPr>
          <w:rFonts w:ascii="Arial" w:hAnsi="Arial" w:cs="Arial"/>
          <w:color w:val="000000"/>
          <w:sz w:val="20"/>
          <w:szCs w:val="20"/>
        </w:rPr>
        <w:t xml:space="preserve">) of the Directions, the Reserve Bank hereby notifies Modified Mumbai Interbank Forward Outright Rate (MMIFOR) administered by Financial Benchmarks India </w:t>
      </w:r>
      <w:proofErr w:type="spellStart"/>
      <w:r>
        <w:rPr>
          <w:rFonts w:ascii="Arial" w:hAnsi="Arial" w:cs="Arial"/>
          <w:color w:val="000000"/>
          <w:sz w:val="20"/>
          <w:szCs w:val="20"/>
        </w:rPr>
        <w:t>Pvt.</w:t>
      </w:r>
      <w:proofErr w:type="spellEnd"/>
      <w:r>
        <w:rPr>
          <w:rFonts w:ascii="Arial" w:hAnsi="Arial" w:cs="Arial"/>
          <w:color w:val="000000"/>
          <w:sz w:val="20"/>
          <w:szCs w:val="20"/>
        </w:rPr>
        <w:t xml:space="preserve"> Ltd. (FBIL) as a ‘significant benchmark’.</w:t>
      </w:r>
    </w:p>
    <w:p w:rsidR="005A38FC" w:rsidRDefault="005A38FC" w:rsidP="005A38FC">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3. The updated list of ‘significant benchmarks’ administered by FBIL is given below:</w:t>
      </w:r>
    </w:p>
    <w:p w:rsidR="005A38FC" w:rsidRDefault="005A38FC" w:rsidP="005A38FC">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i</w:t>
      </w:r>
      <w:proofErr w:type="spellEnd"/>
      <w:r>
        <w:rPr>
          <w:rFonts w:ascii="Arial" w:hAnsi="Arial" w:cs="Arial"/>
          <w:color w:val="000000"/>
          <w:sz w:val="20"/>
          <w:szCs w:val="20"/>
        </w:rPr>
        <w:t>) Overnight Mumbai Interbank Outright Rate (MIBOR)</w:t>
      </w:r>
    </w:p>
    <w:p w:rsidR="005A38FC" w:rsidRDefault="005A38FC" w:rsidP="005A38FC">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(ii) Mumbai Interbank Forward Outright Rate (MIFOR)</w:t>
      </w:r>
    </w:p>
    <w:p w:rsidR="005A38FC" w:rsidRDefault="005A38FC" w:rsidP="005A38FC">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(iii) USD/INR Reference Rate</w:t>
      </w:r>
    </w:p>
    <w:p w:rsidR="005A38FC" w:rsidRDefault="005A38FC" w:rsidP="005A38FC">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(iv) Treasury Bill Rates</w:t>
      </w:r>
    </w:p>
    <w:p w:rsidR="005A38FC" w:rsidRDefault="005A38FC" w:rsidP="005A38FC">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(v) Valuation of Government Securities</w:t>
      </w:r>
    </w:p>
    <w:p w:rsidR="005A38FC" w:rsidRDefault="005A38FC" w:rsidP="005A38FC">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(vi) Valuation of State Development Loans (SDL)</w:t>
      </w:r>
    </w:p>
    <w:p w:rsidR="005A38FC" w:rsidRDefault="005A38FC" w:rsidP="005A38FC">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(vii) Modified Mumbai Interbank Forward Outright Rate (MMIFOR)</w:t>
      </w:r>
    </w:p>
    <w:p w:rsidR="005A38FC" w:rsidRDefault="005A38FC" w:rsidP="005A38FC">
      <w:pPr>
        <w:pStyle w:val="NormalWeb"/>
        <w:jc w:val="both"/>
        <w:rPr>
          <w:rFonts w:ascii="Arial" w:hAnsi="Arial" w:cs="Arial"/>
          <w:color w:val="000000"/>
          <w:sz w:val="20"/>
          <w:szCs w:val="20"/>
        </w:rPr>
      </w:pPr>
      <w:r>
        <w:rPr>
          <w:rFonts w:ascii="Arial" w:hAnsi="Arial" w:cs="Arial"/>
          <w:color w:val="000000"/>
          <w:sz w:val="20"/>
          <w:szCs w:val="20"/>
        </w:rPr>
        <w:t>4. Further, in terms of paragraph 3(ii) of the Directions, the person administering the ‘significant benchmark’, shall make an application to the Reserve Bank within a period of three months from the date of this notification for authorization to continue administering MMIFOR.</w:t>
      </w:r>
    </w:p>
    <w:p w:rsidR="005A38FC" w:rsidRDefault="005A38FC" w:rsidP="005A38FC">
      <w:pPr>
        <w:pStyle w:val="NormalWeb"/>
        <w:jc w:val="both"/>
        <w:rPr>
          <w:rFonts w:ascii="Arial" w:hAnsi="Arial" w:cs="Arial"/>
          <w:color w:val="000000"/>
          <w:sz w:val="20"/>
          <w:szCs w:val="20"/>
        </w:rPr>
      </w:pPr>
      <w:r>
        <w:rPr>
          <w:rFonts w:ascii="Arial" w:hAnsi="Arial" w:cs="Arial"/>
          <w:color w:val="000000"/>
          <w:sz w:val="20"/>
          <w:szCs w:val="20"/>
        </w:rPr>
        <w:t>5. The MIFOR, administered by FBIL, shall continue to remain a ‘significant benchmark’ till further notice.</w:t>
      </w:r>
    </w:p>
    <w:p w:rsidR="005A38FC" w:rsidRDefault="005A38FC" w:rsidP="005A38FC">
      <w:pPr>
        <w:pStyle w:val="NormalWeb"/>
        <w:jc w:val="both"/>
        <w:rPr>
          <w:rFonts w:ascii="Arial" w:hAnsi="Arial" w:cs="Arial"/>
          <w:color w:val="000000"/>
          <w:sz w:val="20"/>
          <w:szCs w:val="20"/>
        </w:rPr>
      </w:pPr>
      <w:r>
        <w:rPr>
          <w:rFonts w:ascii="Arial" w:hAnsi="Arial" w:cs="Arial"/>
          <w:color w:val="000000"/>
          <w:sz w:val="20"/>
          <w:szCs w:val="20"/>
        </w:rPr>
        <w:t>6. This notification has been issued by the Reserve Bank as required under the </w:t>
      </w:r>
      <w:hyperlink r:id="rId51" w:tgtFrame="_blank" w:history="1">
        <w:r>
          <w:rPr>
            <w:rStyle w:val="Hyperlink"/>
            <w:rFonts w:ascii="Arial" w:hAnsi="Arial" w:cs="Arial"/>
            <w:sz w:val="20"/>
            <w:szCs w:val="20"/>
          </w:rPr>
          <w:t>Financial Benchmark Administrators (Reserve Bank) Directions, 2019, dated June 26, 2019</w:t>
        </w:r>
      </w:hyperlink>
      <w:r>
        <w:rPr>
          <w:rFonts w:ascii="Arial" w:hAnsi="Arial" w:cs="Arial"/>
          <w:color w:val="000000"/>
          <w:sz w:val="20"/>
          <w:szCs w:val="20"/>
        </w:rPr>
        <w:t>.</w:t>
      </w:r>
    </w:p>
    <w:p w:rsidR="005A38FC" w:rsidRDefault="005A38FC" w:rsidP="00F81595">
      <w:pPr>
        <w:pStyle w:val="NormalWeb"/>
        <w:spacing w:after="0" w:afterAutospacing="0"/>
        <w:rPr>
          <w:rFonts w:ascii="Arial" w:hAnsi="Arial" w:cs="Arial"/>
          <w:color w:val="000000"/>
          <w:sz w:val="20"/>
          <w:szCs w:val="20"/>
        </w:rPr>
      </w:pPr>
      <w:r>
        <w:rPr>
          <w:rFonts w:ascii="Arial" w:hAnsi="Arial" w:cs="Arial"/>
          <w:color w:val="000000"/>
          <w:sz w:val="20"/>
          <w:szCs w:val="20"/>
        </w:rPr>
        <w:t>Yours faithfully,</w:t>
      </w:r>
    </w:p>
    <w:p w:rsidR="005A38FC" w:rsidRPr="00F81595" w:rsidRDefault="005A38FC" w:rsidP="00F81595">
      <w:pPr>
        <w:pStyle w:val="NormalWeb"/>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rsidR="00F81595" w:rsidRDefault="00F81595" w:rsidP="005A38FC">
      <w:pPr>
        <w:spacing w:after="0"/>
        <w:rPr>
          <w:rFonts w:ascii="Arial" w:hAnsi="Arial" w:cs="Arial"/>
          <w:sz w:val="20"/>
          <w:szCs w:val="20"/>
        </w:rPr>
      </w:pPr>
    </w:p>
    <w:p w:rsidR="005A38FC" w:rsidRPr="00435B25" w:rsidRDefault="005A38FC" w:rsidP="005A38FC">
      <w:pPr>
        <w:spacing w:after="0"/>
        <w:rPr>
          <w:rFonts w:ascii="Arial" w:hAnsi="Arial" w:cs="Arial"/>
          <w:sz w:val="20"/>
          <w:szCs w:val="20"/>
        </w:rPr>
      </w:pPr>
      <w:r w:rsidRPr="00435B25">
        <w:rPr>
          <w:rFonts w:ascii="Arial" w:hAnsi="Arial" w:cs="Arial"/>
          <w:sz w:val="20"/>
          <w:szCs w:val="20"/>
        </w:rPr>
        <w:t>More details can be referred to in the below link.</w:t>
      </w:r>
    </w:p>
    <w:p w:rsidR="005A38FC" w:rsidRDefault="005A38FC" w:rsidP="005A38FC">
      <w:pPr>
        <w:spacing w:after="0"/>
        <w:rPr>
          <w:rFonts w:ascii="Arial" w:hAnsi="Arial" w:cs="Arial"/>
          <w:sz w:val="20"/>
          <w:szCs w:val="20"/>
        </w:rPr>
      </w:pPr>
      <w:r w:rsidRPr="00435B25">
        <w:rPr>
          <w:rFonts w:ascii="Arial" w:hAnsi="Arial" w:cs="Arial"/>
          <w:sz w:val="20"/>
          <w:szCs w:val="20"/>
        </w:rPr>
        <w:t>Reference Link:</w:t>
      </w:r>
      <w:r>
        <w:rPr>
          <w:rFonts w:ascii="Arial" w:hAnsi="Arial" w:cs="Arial"/>
          <w:sz w:val="20"/>
          <w:szCs w:val="20"/>
        </w:rPr>
        <w:t xml:space="preserve"> </w:t>
      </w:r>
      <w:hyperlink r:id="rId52" w:anchor=":~:text=(FBIL)%20as%20a%20'significant%20benchmark'.&amp;text=4.,authorization%20to%20continue%20administering%20MMIFOR" w:history="1">
        <w:r w:rsidRPr="00200311">
          <w:rPr>
            <w:rStyle w:val="Hyperlink"/>
            <w:rFonts w:ascii="Arial" w:hAnsi="Arial" w:cs="Arial"/>
            <w:sz w:val="20"/>
            <w:szCs w:val="20"/>
          </w:rPr>
          <w:t>https://m.rbi.org.in/scripts/FS_Notification.aspx?Id=12414&amp;fn=6&amp;Mode=0#:~:text=(FBIL)%20as%20a%20'significant%20benchmark'.&amp;text=4.,authorization%20to%20continue%20administering%20MMIFOR</w:t>
        </w:r>
      </w:hyperlink>
      <w:r w:rsidRPr="005A38FC">
        <w:rPr>
          <w:rFonts w:ascii="Arial" w:hAnsi="Arial" w:cs="Arial"/>
          <w:sz w:val="20"/>
          <w:szCs w:val="20"/>
        </w:rPr>
        <w:t>.</w:t>
      </w:r>
    </w:p>
    <w:p w:rsidR="00F81595" w:rsidRDefault="00F81595" w:rsidP="005A38FC">
      <w:pPr>
        <w:spacing w:after="0"/>
        <w:rPr>
          <w:rFonts w:ascii="Arial" w:hAnsi="Arial" w:cs="Arial"/>
          <w:b/>
          <w:bCs/>
          <w:color w:val="000000"/>
          <w:sz w:val="20"/>
          <w:szCs w:val="20"/>
        </w:rPr>
      </w:pPr>
    </w:p>
    <w:p w:rsidR="00F81595" w:rsidRDefault="00F81595" w:rsidP="005A38FC">
      <w:pPr>
        <w:spacing w:after="0"/>
        <w:rPr>
          <w:rFonts w:ascii="Arial" w:hAnsi="Arial" w:cs="Arial"/>
          <w:b/>
          <w:bCs/>
          <w:color w:val="000000"/>
          <w:sz w:val="20"/>
          <w:szCs w:val="20"/>
        </w:rPr>
      </w:pPr>
    </w:p>
    <w:p w:rsidR="00F81595" w:rsidRDefault="00F81595" w:rsidP="005A38FC">
      <w:pPr>
        <w:spacing w:after="0"/>
        <w:rPr>
          <w:rFonts w:ascii="Arial" w:hAnsi="Arial" w:cs="Arial"/>
          <w:b/>
          <w:bCs/>
          <w:color w:val="000000"/>
          <w:sz w:val="20"/>
          <w:szCs w:val="20"/>
        </w:rPr>
      </w:pPr>
    </w:p>
    <w:p w:rsidR="00F81595" w:rsidRDefault="00F81595" w:rsidP="005A38FC">
      <w:pPr>
        <w:spacing w:after="0"/>
        <w:rPr>
          <w:rFonts w:ascii="Arial" w:hAnsi="Arial" w:cs="Arial"/>
          <w:b/>
          <w:bCs/>
          <w:color w:val="000000"/>
          <w:sz w:val="20"/>
          <w:szCs w:val="20"/>
        </w:rPr>
      </w:pPr>
    </w:p>
    <w:p w:rsidR="00F81595" w:rsidRDefault="00F81595" w:rsidP="005A38FC">
      <w:pPr>
        <w:spacing w:after="0"/>
        <w:rPr>
          <w:rFonts w:ascii="Arial" w:hAnsi="Arial" w:cs="Arial"/>
          <w:b/>
          <w:bCs/>
          <w:color w:val="000000"/>
          <w:sz w:val="20"/>
          <w:szCs w:val="20"/>
        </w:rPr>
      </w:pPr>
    </w:p>
    <w:p w:rsidR="005A38FC" w:rsidRDefault="005A38FC" w:rsidP="005A38FC">
      <w:pPr>
        <w:spacing w:after="0"/>
        <w:rPr>
          <w:rFonts w:ascii="Arial" w:hAnsi="Arial" w:cs="Arial"/>
          <w:b/>
          <w:bCs/>
          <w:color w:val="000000"/>
          <w:sz w:val="20"/>
          <w:szCs w:val="20"/>
        </w:rPr>
      </w:pPr>
      <w:r>
        <w:rPr>
          <w:rFonts w:ascii="Arial" w:hAnsi="Arial" w:cs="Arial"/>
          <w:b/>
          <w:bCs/>
          <w:color w:val="000000"/>
          <w:sz w:val="20"/>
          <w:szCs w:val="20"/>
        </w:rPr>
        <w:lastRenderedPageBreak/>
        <w:t xml:space="preserve">Operations of subsidiaries and branches of Indian banks and All India Financial Institutions (AIFIs) in foreign jurisdictions and in International Financial Services </w:t>
      </w:r>
      <w:proofErr w:type="spellStart"/>
      <w:r>
        <w:rPr>
          <w:rFonts w:ascii="Arial" w:hAnsi="Arial" w:cs="Arial"/>
          <w:b/>
          <w:bCs/>
          <w:color w:val="000000"/>
          <w:sz w:val="20"/>
          <w:szCs w:val="20"/>
        </w:rPr>
        <w:t>Centers</w:t>
      </w:r>
      <w:proofErr w:type="spellEnd"/>
      <w:r>
        <w:rPr>
          <w:rFonts w:ascii="Arial" w:hAnsi="Arial" w:cs="Arial"/>
          <w:b/>
          <w:bCs/>
          <w:color w:val="000000"/>
          <w:sz w:val="20"/>
          <w:szCs w:val="20"/>
        </w:rPr>
        <w:t xml:space="preserve"> (IFSCs) - Compliance with statutory/regulatory norms</w:t>
      </w:r>
    </w:p>
    <w:p w:rsidR="005A38FC" w:rsidRDefault="005A38FC" w:rsidP="005A38FC">
      <w:pPr>
        <w:spacing w:after="0"/>
        <w:rPr>
          <w:rFonts w:ascii="Arial" w:hAnsi="Arial" w:cs="Arial"/>
          <w:b/>
          <w:bCs/>
          <w:color w:val="000000"/>
          <w:sz w:val="20"/>
          <w:szCs w:val="20"/>
        </w:rPr>
      </w:pPr>
    </w:p>
    <w:p w:rsidR="005A38FC" w:rsidRDefault="005A38FC" w:rsidP="005A38FC">
      <w:pPr>
        <w:pStyle w:val="NormalWeb"/>
        <w:jc w:val="both"/>
        <w:rPr>
          <w:rFonts w:ascii="Arial" w:hAnsi="Arial" w:cs="Arial"/>
          <w:color w:val="000000"/>
          <w:sz w:val="20"/>
          <w:szCs w:val="20"/>
        </w:rPr>
      </w:pPr>
      <w:r>
        <w:rPr>
          <w:rFonts w:ascii="Arial" w:hAnsi="Arial" w:cs="Arial"/>
          <w:color w:val="000000"/>
          <w:sz w:val="20"/>
          <w:szCs w:val="20"/>
        </w:rPr>
        <w:t>RBI/2022-23/145</w:t>
      </w:r>
      <w:r>
        <w:rPr>
          <w:rFonts w:ascii="Arial" w:hAnsi="Arial" w:cs="Arial"/>
          <w:color w:val="000000"/>
          <w:sz w:val="20"/>
          <w:szCs w:val="20"/>
        </w:rPr>
        <w:br/>
        <w:t>DOR.MRG.REC.87/00-00-020/2022-23</w:t>
      </w:r>
    </w:p>
    <w:p w:rsidR="005A38FC" w:rsidRDefault="005A38FC" w:rsidP="005A38FC">
      <w:pPr>
        <w:pStyle w:val="NormalWeb"/>
        <w:jc w:val="right"/>
        <w:rPr>
          <w:rFonts w:ascii="Arial" w:hAnsi="Arial" w:cs="Arial"/>
          <w:color w:val="000000"/>
          <w:sz w:val="20"/>
          <w:szCs w:val="20"/>
        </w:rPr>
      </w:pPr>
      <w:r>
        <w:rPr>
          <w:rFonts w:ascii="Arial" w:hAnsi="Arial" w:cs="Arial"/>
          <w:color w:val="000000"/>
          <w:sz w:val="20"/>
          <w:szCs w:val="20"/>
        </w:rPr>
        <w:t>December 1, 2022</w:t>
      </w:r>
    </w:p>
    <w:p w:rsidR="005A38FC" w:rsidRDefault="005A38FC" w:rsidP="005A38FC">
      <w:pPr>
        <w:pStyle w:val="head"/>
        <w:jc w:val="both"/>
        <w:rPr>
          <w:rFonts w:ascii="Arial" w:hAnsi="Arial" w:cs="Arial"/>
          <w:b/>
          <w:bCs/>
          <w:color w:val="000000"/>
          <w:sz w:val="20"/>
          <w:szCs w:val="20"/>
        </w:rPr>
      </w:pPr>
      <w:r>
        <w:rPr>
          <w:rFonts w:ascii="Arial" w:hAnsi="Arial" w:cs="Arial"/>
          <w:b/>
          <w:bCs/>
          <w:color w:val="000000"/>
          <w:sz w:val="20"/>
          <w:szCs w:val="20"/>
        </w:rPr>
        <w:t xml:space="preserve">Operations of subsidiaries and branches of Indian banks and All India Financial Institutions (AIFIs) in foreign jurisdictions and in International Financial Services </w:t>
      </w:r>
      <w:proofErr w:type="spellStart"/>
      <w:r>
        <w:rPr>
          <w:rFonts w:ascii="Arial" w:hAnsi="Arial" w:cs="Arial"/>
          <w:b/>
          <w:bCs/>
          <w:color w:val="000000"/>
          <w:sz w:val="20"/>
          <w:szCs w:val="20"/>
        </w:rPr>
        <w:t>Centers</w:t>
      </w:r>
      <w:proofErr w:type="spellEnd"/>
      <w:r>
        <w:rPr>
          <w:rFonts w:ascii="Arial" w:hAnsi="Arial" w:cs="Arial"/>
          <w:b/>
          <w:bCs/>
          <w:color w:val="000000"/>
          <w:sz w:val="20"/>
          <w:szCs w:val="20"/>
        </w:rPr>
        <w:t xml:space="preserve"> (IFSCs) - Compliance with statutory/regulatory norms</w:t>
      </w:r>
    </w:p>
    <w:p w:rsidR="005A38FC" w:rsidRDefault="005A38FC" w:rsidP="005A38FC">
      <w:pPr>
        <w:pStyle w:val="NormalWeb"/>
        <w:jc w:val="both"/>
        <w:rPr>
          <w:rFonts w:ascii="Arial" w:hAnsi="Arial" w:cs="Arial"/>
          <w:color w:val="000000"/>
          <w:sz w:val="20"/>
          <w:szCs w:val="20"/>
        </w:rPr>
      </w:pPr>
      <w:r>
        <w:rPr>
          <w:rFonts w:ascii="Arial" w:hAnsi="Arial" w:cs="Arial"/>
          <w:color w:val="000000"/>
          <w:sz w:val="20"/>
          <w:szCs w:val="20"/>
        </w:rPr>
        <w:t>As you are aware, Reserve Bank had vide </w:t>
      </w:r>
      <w:hyperlink r:id="rId53" w:tgtFrame="_blank" w:history="1">
        <w:r>
          <w:rPr>
            <w:rStyle w:val="Hyperlink"/>
            <w:rFonts w:ascii="Arial" w:hAnsi="Arial" w:cs="Arial"/>
            <w:sz w:val="20"/>
            <w:szCs w:val="20"/>
          </w:rPr>
          <w:t>circular DBOD.No.BP.BC.89/21.04.141/2008-09 dated December 1, 2008</w:t>
        </w:r>
      </w:hyperlink>
      <w:r>
        <w:rPr>
          <w:rFonts w:ascii="Arial" w:hAnsi="Arial" w:cs="Arial"/>
          <w:color w:val="000000"/>
          <w:sz w:val="20"/>
          <w:szCs w:val="20"/>
        </w:rPr>
        <w:t> and </w:t>
      </w:r>
      <w:hyperlink r:id="rId54" w:tgtFrame="_blank" w:history="1">
        <w:r>
          <w:rPr>
            <w:rStyle w:val="Hyperlink"/>
            <w:rFonts w:ascii="Arial" w:hAnsi="Arial" w:cs="Arial"/>
            <w:sz w:val="20"/>
            <w:szCs w:val="20"/>
          </w:rPr>
          <w:t>circular DBOD.No.BP.BC.111/21.04.157/2013-14 dated May 12, 2014</w:t>
        </w:r>
      </w:hyperlink>
      <w:r>
        <w:rPr>
          <w:rFonts w:ascii="Arial" w:hAnsi="Arial" w:cs="Arial"/>
          <w:color w:val="000000"/>
          <w:sz w:val="20"/>
          <w:szCs w:val="20"/>
        </w:rPr>
        <w:t xml:space="preserve"> issued instructions to Indian banks and AIFIs on the issue of dealing in financial products by their branches/subsidiaries operating outside India. On a review, it was felt that a framework needs to be in place to allow them to undertake activities which are not specifically permitted in the Indian domestic market and also to specify the applicability of these instructions to International Financial Services </w:t>
      </w:r>
      <w:proofErr w:type="spellStart"/>
      <w:r>
        <w:rPr>
          <w:rFonts w:ascii="Arial" w:hAnsi="Arial" w:cs="Arial"/>
          <w:color w:val="000000"/>
          <w:sz w:val="20"/>
          <w:szCs w:val="20"/>
        </w:rPr>
        <w:t>Centers</w:t>
      </w:r>
      <w:proofErr w:type="spellEnd"/>
      <w:r>
        <w:rPr>
          <w:rFonts w:ascii="Arial" w:hAnsi="Arial" w:cs="Arial"/>
          <w:color w:val="000000"/>
          <w:sz w:val="20"/>
          <w:szCs w:val="20"/>
        </w:rPr>
        <w:t xml:space="preserve"> (IFSCs) in India including Gujarat International Finance Tec-City (GIFT City).</w:t>
      </w:r>
    </w:p>
    <w:p w:rsidR="005A38FC" w:rsidRDefault="005A38FC" w:rsidP="005A38FC">
      <w:pPr>
        <w:pStyle w:val="head"/>
        <w:jc w:val="both"/>
        <w:rPr>
          <w:rFonts w:ascii="Arial" w:hAnsi="Arial" w:cs="Arial"/>
          <w:b/>
          <w:bCs/>
          <w:color w:val="000000"/>
          <w:sz w:val="20"/>
          <w:szCs w:val="20"/>
        </w:rPr>
      </w:pPr>
      <w:r>
        <w:rPr>
          <w:rFonts w:ascii="Arial" w:hAnsi="Arial" w:cs="Arial"/>
          <w:b/>
          <w:bCs/>
          <w:color w:val="000000"/>
          <w:sz w:val="20"/>
          <w:szCs w:val="20"/>
        </w:rPr>
        <w:t>1. Applicability and commencement</w:t>
      </w:r>
    </w:p>
    <w:p w:rsidR="005A38FC" w:rsidRDefault="005A38FC" w:rsidP="005A38FC">
      <w:pPr>
        <w:pStyle w:val="head"/>
        <w:jc w:val="both"/>
        <w:rPr>
          <w:rFonts w:ascii="Arial" w:hAnsi="Arial" w:cs="Arial"/>
          <w:b/>
          <w:bCs/>
          <w:color w:val="000000"/>
          <w:sz w:val="20"/>
          <w:szCs w:val="20"/>
        </w:rPr>
      </w:pPr>
      <w:r>
        <w:rPr>
          <w:rFonts w:ascii="Arial" w:hAnsi="Arial" w:cs="Arial"/>
          <w:b/>
          <w:bCs/>
          <w:color w:val="000000"/>
          <w:sz w:val="20"/>
          <w:szCs w:val="20"/>
        </w:rPr>
        <w:t>2. Dealing in financial products</w:t>
      </w:r>
    </w:p>
    <w:p w:rsidR="005A38FC" w:rsidRDefault="005A38FC" w:rsidP="005A38FC">
      <w:pPr>
        <w:pStyle w:val="head"/>
        <w:jc w:val="both"/>
        <w:rPr>
          <w:rFonts w:ascii="Arial" w:hAnsi="Arial" w:cs="Arial"/>
          <w:b/>
          <w:bCs/>
          <w:color w:val="000000"/>
          <w:sz w:val="20"/>
          <w:szCs w:val="20"/>
        </w:rPr>
      </w:pPr>
      <w:r>
        <w:rPr>
          <w:rFonts w:ascii="Arial" w:hAnsi="Arial" w:cs="Arial"/>
          <w:b/>
          <w:bCs/>
          <w:color w:val="000000"/>
          <w:sz w:val="20"/>
          <w:szCs w:val="20"/>
        </w:rPr>
        <w:t>3. Conditions for dealing in financial products</w:t>
      </w:r>
    </w:p>
    <w:p w:rsidR="005A38FC" w:rsidRDefault="005A38FC" w:rsidP="005A38FC">
      <w:pPr>
        <w:pStyle w:val="head"/>
        <w:jc w:val="both"/>
        <w:rPr>
          <w:rFonts w:ascii="Arial" w:hAnsi="Arial" w:cs="Arial"/>
          <w:b/>
          <w:bCs/>
          <w:color w:val="000000"/>
          <w:sz w:val="20"/>
          <w:szCs w:val="20"/>
        </w:rPr>
      </w:pPr>
      <w:r>
        <w:rPr>
          <w:rFonts w:ascii="Arial" w:hAnsi="Arial" w:cs="Arial"/>
          <w:b/>
          <w:bCs/>
          <w:color w:val="000000"/>
          <w:sz w:val="20"/>
          <w:szCs w:val="20"/>
        </w:rPr>
        <w:t>4. Compliance with prudential norms</w:t>
      </w:r>
    </w:p>
    <w:p w:rsidR="005A38FC" w:rsidRDefault="005A38FC" w:rsidP="005A38FC">
      <w:pPr>
        <w:pStyle w:val="head"/>
        <w:jc w:val="both"/>
        <w:rPr>
          <w:rFonts w:ascii="Arial" w:hAnsi="Arial" w:cs="Arial"/>
          <w:b/>
          <w:bCs/>
          <w:color w:val="000000"/>
          <w:sz w:val="20"/>
          <w:szCs w:val="20"/>
        </w:rPr>
      </w:pPr>
      <w:r>
        <w:rPr>
          <w:rFonts w:ascii="Arial" w:hAnsi="Arial" w:cs="Arial"/>
          <w:b/>
          <w:bCs/>
          <w:color w:val="000000"/>
          <w:sz w:val="20"/>
          <w:szCs w:val="20"/>
        </w:rPr>
        <w:t>5. Activities subject to Indian laws</w:t>
      </w:r>
    </w:p>
    <w:p w:rsidR="005A38FC" w:rsidRDefault="005A38FC" w:rsidP="005A38FC">
      <w:pPr>
        <w:pStyle w:val="head"/>
        <w:jc w:val="both"/>
        <w:rPr>
          <w:rFonts w:ascii="Arial" w:hAnsi="Arial" w:cs="Arial"/>
          <w:b/>
          <w:bCs/>
          <w:color w:val="000000"/>
          <w:sz w:val="20"/>
          <w:szCs w:val="20"/>
        </w:rPr>
      </w:pPr>
      <w:r>
        <w:rPr>
          <w:rFonts w:ascii="Arial" w:hAnsi="Arial" w:cs="Arial"/>
          <w:b/>
          <w:bCs/>
          <w:color w:val="000000"/>
          <w:sz w:val="20"/>
          <w:szCs w:val="20"/>
        </w:rPr>
        <w:t>6. Repeal of earlier instructions</w:t>
      </w:r>
    </w:p>
    <w:p w:rsidR="005A38FC" w:rsidRDefault="005A38FC" w:rsidP="005A38FC">
      <w:pPr>
        <w:pStyle w:val="NormalWeb"/>
        <w:spacing w:after="0" w:afterAutospacing="0"/>
        <w:jc w:val="both"/>
        <w:rPr>
          <w:rFonts w:ascii="Arial" w:hAnsi="Arial" w:cs="Arial"/>
          <w:color w:val="000000"/>
          <w:sz w:val="20"/>
          <w:szCs w:val="20"/>
        </w:rPr>
      </w:pPr>
      <w:r>
        <w:rPr>
          <w:rFonts w:ascii="Arial" w:hAnsi="Arial" w:cs="Arial"/>
          <w:color w:val="000000"/>
          <w:sz w:val="20"/>
          <w:szCs w:val="20"/>
        </w:rPr>
        <w:t>Yours faithfully,</w:t>
      </w:r>
    </w:p>
    <w:p w:rsidR="005A38FC" w:rsidRDefault="005A38FC" w:rsidP="005A38FC">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Usha</w:t>
      </w:r>
      <w:proofErr w:type="spellEnd"/>
      <w:r>
        <w:rPr>
          <w:rFonts w:ascii="Arial" w:hAnsi="Arial" w:cs="Arial"/>
          <w:color w:val="000000"/>
          <w:sz w:val="20"/>
          <w:szCs w:val="20"/>
        </w:rPr>
        <w:t xml:space="preserve"> </w:t>
      </w:r>
      <w:proofErr w:type="spellStart"/>
      <w:r>
        <w:rPr>
          <w:rFonts w:ascii="Arial" w:hAnsi="Arial" w:cs="Arial"/>
          <w:color w:val="000000"/>
          <w:sz w:val="20"/>
          <w:szCs w:val="20"/>
        </w:rPr>
        <w:t>Janakiraman</w:t>
      </w:r>
      <w:proofErr w:type="spellEnd"/>
      <w:r>
        <w:rPr>
          <w:rFonts w:ascii="Arial" w:hAnsi="Arial" w:cs="Arial"/>
          <w:color w:val="000000"/>
          <w:sz w:val="20"/>
          <w:szCs w:val="20"/>
        </w:rPr>
        <w:t>)</w:t>
      </w:r>
      <w:r>
        <w:rPr>
          <w:rFonts w:ascii="Arial" w:hAnsi="Arial" w:cs="Arial"/>
          <w:color w:val="000000"/>
          <w:sz w:val="20"/>
          <w:szCs w:val="20"/>
        </w:rPr>
        <w:br/>
        <w:t>Chief General Manager</w:t>
      </w: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Pr="00435B25" w:rsidRDefault="005A38FC" w:rsidP="005A38FC">
      <w:pPr>
        <w:spacing w:after="0"/>
        <w:rPr>
          <w:rFonts w:ascii="Arial" w:hAnsi="Arial" w:cs="Arial"/>
          <w:sz w:val="20"/>
          <w:szCs w:val="20"/>
        </w:rPr>
      </w:pPr>
      <w:r w:rsidRPr="00435B25">
        <w:rPr>
          <w:rFonts w:ascii="Arial" w:hAnsi="Arial" w:cs="Arial"/>
          <w:sz w:val="20"/>
          <w:szCs w:val="20"/>
        </w:rPr>
        <w:t>More details can be referred to in the below link.</w:t>
      </w:r>
    </w:p>
    <w:p w:rsidR="005A38FC" w:rsidRDefault="005A38FC" w:rsidP="005A38FC">
      <w:pPr>
        <w:spacing w:after="0"/>
        <w:rPr>
          <w:rFonts w:ascii="Arial" w:hAnsi="Arial" w:cs="Arial"/>
          <w:sz w:val="20"/>
          <w:szCs w:val="20"/>
        </w:rPr>
      </w:pPr>
      <w:r w:rsidRPr="00435B25">
        <w:rPr>
          <w:rFonts w:ascii="Arial" w:hAnsi="Arial" w:cs="Arial"/>
          <w:sz w:val="20"/>
          <w:szCs w:val="20"/>
        </w:rPr>
        <w:t>Reference Link:</w:t>
      </w:r>
      <w:r>
        <w:rPr>
          <w:rFonts w:ascii="Arial" w:hAnsi="Arial" w:cs="Arial"/>
          <w:sz w:val="20"/>
          <w:szCs w:val="20"/>
        </w:rPr>
        <w:t xml:space="preserve"> </w:t>
      </w:r>
      <w:hyperlink r:id="rId55" w:history="1">
        <w:r w:rsidRPr="00200311">
          <w:rPr>
            <w:rStyle w:val="Hyperlink"/>
            <w:rFonts w:ascii="Arial" w:hAnsi="Arial" w:cs="Arial"/>
            <w:sz w:val="20"/>
            <w:szCs w:val="20"/>
          </w:rPr>
          <w:t>https://m.rbi.org.in/scripts/FS_Notification.aspx?Id=12417&amp;fn=14&amp;Mode=0</w:t>
        </w:r>
      </w:hyperlink>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F81595" w:rsidRDefault="00F81595" w:rsidP="005A38FC">
      <w:pPr>
        <w:spacing w:after="0"/>
        <w:rPr>
          <w:rFonts w:ascii="Arial" w:hAnsi="Arial" w:cs="Arial"/>
          <w:b/>
          <w:bCs/>
          <w:color w:val="000000"/>
          <w:sz w:val="20"/>
          <w:szCs w:val="20"/>
        </w:rPr>
      </w:pPr>
    </w:p>
    <w:p w:rsidR="005A38FC" w:rsidRPr="005A38FC" w:rsidRDefault="005A38FC" w:rsidP="005A38FC">
      <w:pPr>
        <w:spacing w:after="0"/>
        <w:rPr>
          <w:rFonts w:ascii="Arial" w:hAnsi="Arial" w:cs="Arial"/>
          <w:b/>
          <w:bCs/>
          <w:color w:val="000000"/>
          <w:sz w:val="20"/>
          <w:szCs w:val="20"/>
        </w:rPr>
      </w:pPr>
      <w:r w:rsidRPr="005A38FC">
        <w:rPr>
          <w:rFonts w:ascii="Arial" w:hAnsi="Arial" w:cs="Arial"/>
          <w:b/>
          <w:bCs/>
          <w:color w:val="000000"/>
          <w:sz w:val="20"/>
          <w:szCs w:val="20"/>
        </w:rPr>
        <w:lastRenderedPageBreak/>
        <w:t>Hedging of Gold Price Risk in Overseas Markets</w:t>
      </w:r>
    </w:p>
    <w:p w:rsidR="005A38FC" w:rsidRPr="005A38FC" w:rsidRDefault="005A38FC" w:rsidP="005A38FC">
      <w:pPr>
        <w:pStyle w:val="NormalWeb"/>
        <w:rPr>
          <w:rFonts w:ascii="Arial" w:hAnsi="Arial" w:cs="Arial"/>
          <w:sz w:val="20"/>
          <w:szCs w:val="20"/>
        </w:rPr>
      </w:pPr>
      <w:r w:rsidRPr="005A38FC">
        <w:rPr>
          <w:rFonts w:ascii="Arial" w:hAnsi="Arial" w:cs="Arial"/>
          <w:sz w:val="20"/>
          <w:szCs w:val="20"/>
        </w:rPr>
        <w:t>RBI/2022-23/151</w:t>
      </w:r>
      <w:r w:rsidRPr="005A38FC">
        <w:rPr>
          <w:rFonts w:ascii="Arial" w:hAnsi="Arial" w:cs="Arial"/>
          <w:sz w:val="20"/>
          <w:szCs w:val="20"/>
        </w:rPr>
        <w:br/>
        <w:t>A. P. (DIR Series) Circular No. 19</w:t>
      </w:r>
    </w:p>
    <w:p w:rsidR="005A38FC" w:rsidRPr="005A38FC" w:rsidRDefault="005A38FC" w:rsidP="005A38FC">
      <w:pPr>
        <w:pStyle w:val="NormalWeb"/>
        <w:jc w:val="right"/>
        <w:rPr>
          <w:rFonts w:ascii="Arial" w:hAnsi="Arial" w:cs="Arial"/>
          <w:sz w:val="20"/>
          <w:szCs w:val="20"/>
        </w:rPr>
      </w:pPr>
      <w:r w:rsidRPr="005A38FC">
        <w:rPr>
          <w:rFonts w:ascii="Arial" w:hAnsi="Arial" w:cs="Arial"/>
          <w:sz w:val="20"/>
          <w:szCs w:val="20"/>
        </w:rPr>
        <w:t>December 12, 2022</w:t>
      </w:r>
    </w:p>
    <w:p w:rsidR="005A38FC" w:rsidRPr="005A38FC" w:rsidRDefault="005A38FC" w:rsidP="005A38FC">
      <w:pPr>
        <w:pStyle w:val="NormalWeb"/>
        <w:spacing w:before="0" w:beforeAutospacing="0" w:after="0" w:afterAutospacing="0"/>
        <w:rPr>
          <w:rFonts w:ascii="Arial" w:hAnsi="Arial" w:cs="Arial"/>
          <w:sz w:val="20"/>
          <w:szCs w:val="20"/>
        </w:rPr>
      </w:pPr>
      <w:r w:rsidRPr="005A38FC">
        <w:rPr>
          <w:rFonts w:ascii="Arial" w:hAnsi="Arial" w:cs="Arial"/>
          <w:sz w:val="20"/>
          <w:szCs w:val="20"/>
        </w:rPr>
        <w:t>All Authorised Dealer Category – I Banks</w:t>
      </w:r>
    </w:p>
    <w:p w:rsidR="005A38FC" w:rsidRPr="005A38FC" w:rsidRDefault="005A38FC" w:rsidP="005A38FC">
      <w:pPr>
        <w:pStyle w:val="NormalWeb"/>
        <w:spacing w:before="0" w:beforeAutospacing="0" w:after="0" w:afterAutospacing="0"/>
        <w:rPr>
          <w:rFonts w:ascii="Arial" w:hAnsi="Arial" w:cs="Arial"/>
          <w:sz w:val="20"/>
          <w:szCs w:val="20"/>
        </w:rPr>
      </w:pPr>
      <w:r w:rsidRPr="005A38FC">
        <w:rPr>
          <w:rFonts w:ascii="Arial" w:hAnsi="Arial" w:cs="Arial"/>
          <w:sz w:val="20"/>
          <w:szCs w:val="20"/>
        </w:rPr>
        <w:t>Madam / Sir,</w:t>
      </w:r>
    </w:p>
    <w:p w:rsidR="005A38FC" w:rsidRPr="005A38FC" w:rsidRDefault="005A38FC" w:rsidP="005A38FC">
      <w:pPr>
        <w:pStyle w:val="head"/>
        <w:jc w:val="center"/>
        <w:rPr>
          <w:rFonts w:ascii="Arial" w:hAnsi="Arial" w:cs="Arial"/>
          <w:b/>
          <w:bCs/>
          <w:sz w:val="20"/>
          <w:szCs w:val="20"/>
        </w:rPr>
      </w:pPr>
      <w:r w:rsidRPr="005A38FC">
        <w:rPr>
          <w:rFonts w:ascii="Arial" w:hAnsi="Arial" w:cs="Arial"/>
          <w:b/>
          <w:bCs/>
          <w:sz w:val="20"/>
          <w:szCs w:val="20"/>
        </w:rPr>
        <w:t>Hedging of Gold Price Risk in Overseas Markets</w:t>
      </w:r>
    </w:p>
    <w:p w:rsidR="005A38FC" w:rsidRPr="005A38FC" w:rsidRDefault="005A38FC" w:rsidP="005A38FC">
      <w:pPr>
        <w:pStyle w:val="NormalWeb"/>
        <w:rPr>
          <w:rFonts w:ascii="Arial" w:hAnsi="Arial" w:cs="Arial"/>
          <w:sz w:val="20"/>
          <w:szCs w:val="20"/>
        </w:rPr>
      </w:pPr>
      <w:r w:rsidRPr="005A38FC">
        <w:rPr>
          <w:rFonts w:ascii="Arial" w:hAnsi="Arial" w:cs="Arial"/>
          <w:sz w:val="20"/>
          <w:szCs w:val="20"/>
        </w:rPr>
        <w:t>Please refer to Paragraph 4 of the </w:t>
      </w:r>
      <w:hyperlink r:id="rId56" w:tgtFrame="_blank" w:history="1">
        <w:r w:rsidRPr="005A38FC">
          <w:rPr>
            <w:rStyle w:val="Hyperlink"/>
            <w:rFonts w:ascii="Arial" w:hAnsi="Arial" w:cs="Arial"/>
            <w:sz w:val="20"/>
            <w:szCs w:val="20"/>
          </w:rPr>
          <w:t>Statement on Developmental and Regulatory Policies</w:t>
        </w:r>
      </w:hyperlink>
      <w:r w:rsidRPr="005A38FC">
        <w:rPr>
          <w:rFonts w:ascii="Arial" w:hAnsi="Arial" w:cs="Arial"/>
          <w:sz w:val="20"/>
          <w:szCs w:val="20"/>
        </w:rPr>
        <w:t> announced as a part of the </w:t>
      </w:r>
      <w:hyperlink r:id="rId57" w:tgtFrame="_blank" w:history="1">
        <w:r w:rsidRPr="005A38FC">
          <w:rPr>
            <w:rStyle w:val="Hyperlink"/>
            <w:rFonts w:ascii="Arial" w:hAnsi="Arial" w:cs="Arial"/>
            <w:sz w:val="20"/>
            <w:szCs w:val="20"/>
          </w:rPr>
          <w:t>Bi-monthly Monetary Policy Statement for 2022-23 dated December 07, 2022</w:t>
        </w:r>
      </w:hyperlink>
      <w:r w:rsidRPr="005A38FC">
        <w:rPr>
          <w:rFonts w:ascii="Arial" w:hAnsi="Arial" w:cs="Arial"/>
          <w:sz w:val="20"/>
          <w:szCs w:val="20"/>
        </w:rPr>
        <w:t> regarding hedging of price risk of gold in overseas markets. Attention is also invited to the </w:t>
      </w:r>
      <w:hyperlink r:id="rId58" w:tgtFrame="_blank" w:history="1">
        <w:r w:rsidRPr="005A38FC">
          <w:rPr>
            <w:rStyle w:val="Hyperlink"/>
            <w:rFonts w:ascii="Arial" w:hAnsi="Arial" w:cs="Arial"/>
            <w:sz w:val="20"/>
            <w:szCs w:val="20"/>
          </w:rPr>
          <w:t>Hedging of Commodity Price Risk and Freight Risk in Overseas Markets (Reserve Bank) Directions, 2018 dated March 12, 2018</w:t>
        </w:r>
      </w:hyperlink>
      <w:r w:rsidRPr="005A38FC">
        <w:rPr>
          <w:rFonts w:ascii="Arial" w:hAnsi="Arial" w:cs="Arial"/>
          <w:sz w:val="20"/>
          <w:szCs w:val="20"/>
        </w:rPr>
        <w:t>, as amended from time to time.</w:t>
      </w:r>
    </w:p>
    <w:p w:rsidR="005A38FC" w:rsidRPr="005A38FC" w:rsidRDefault="005A38FC" w:rsidP="005A38FC">
      <w:pPr>
        <w:pStyle w:val="NormalWeb"/>
        <w:rPr>
          <w:rFonts w:ascii="Arial" w:hAnsi="Arial" w:cs="Arial"/>
          <w:sz w:val="20"/>
          <w:szCs w:val="20"/>
        </w:rPr>
      </w:pPr>
      <w:r w:rsidRPr="005A38FC">
        <w:rPr>
          <w:rFonts w:ascii="Arial" w:hAnsi="Arial" w:cs="Arial"/>
          <w:sz w:val="20"/>
          <w:szCs w:val="20"/>
        </w:rPr>
        <w:t>2. Resident entities in India are currently not permitted to hedge their exposure to price risk of gold in overseas markets. On a review, it has been decided to permit eligible entities to hedge their exposure to price risk of gold on exchanges in the International Financial Services Centre (IFSC) recognised by the International Financial Services Centres Authority (IFSCA).</w:t>
      </w:r>
    </w:p>
    <w:p w:rsidR="005A38FC" w:rsidRPr="005A38FC" w:rsidRDefault="005A38FC" w:rsidP="005A38FC">
      <w:pPr>
        <w:pStyle w:val="NormalWeb"/>
        <w:rPr>
          <w:rFonts w:ascii="Arial" w:hAnsi="Arial" w:cs="Arial"/>
          <w:sz w:val="20"/>
          <w:szCs w:val="20"/>
        </w:rPr>
      </w:pPr>
      <w:r w:rsidRPr="005A38FC">
        <w:rPr>
          <w:rFonts w:ascii="Arial" w:hAnsi="Arial" w:cs="Arial"/>
          <w:sz w:val="20"/>
          <w:szCs w:val="20"/>
        </w:rPr>
        <w:t>3. The Master Direction – Foreign Exchange Management (Hedging of Commodity Price Risk and Freight Risk in Overseas Markets) Directions, 2022 (</w:t>
      </w:r>
      <w:hyperlink r:id="rId59" w:tgtFrame="_blank" w:history="1">
        <w:r w:rsidRPr="005A38FC">
          <w:rPr>
            <w:rStyle w:val="Hyperlink"/>
            <w:rFonts w:ascii="Arial" w:hAnsi="Arial" w:cs="Arial"/>
            <w:sz w:val="20"/>
            <w:szCs w:val="20"/>
          </w:rPr>
          <w:t>A. P. (DIR Series) Circular No. 21 dated December 12, 2022</w:t>
        </w:r>
      </w:hyperlink>
      <w:r w:rsidRPr="005A38FC">
        <w:rPr>
          <w:rFonts w:ascii="Arial" w:hAnsi="Arial" w:cs="Arial"/>
          <w:sz w:val="20"/>
          <w:szCs w:val="20"/>
        </w:rPr>
        <w:t>) have been issued today and are enclosed herewith.</w:t>
      </w:r>
    </w:p>
    <w:p w:rsidR="005A38FC" w:rsidRPr="005A38FC" w:rsidRDefault="005A38FC" w:rsidP="005A38FC">
      <w:pPr>
        <w:pStyle w:val="NormalWeb"/>
        <w:rPr>
          <w:rFonts w:ascii="Arial" w:hAnsi="Arial" w:cs="Arial"/>
          <w:sz w:val="20"/>
          <w:szCs w:val="20"/>
        </w:rPr>
      </w:pPr>
      <w:r w:rsidRPr="005A38FC">
        <w:rPr>
          <w:rFonts w:ascii="Arial" w:hAnsi="Arial" w:cs="Arial"/>
          <w:sz w:val="20"/>
          <w:szCs w:val="20"/>
        </w:rPr>
        <w:t>4. The directions contained in this circular have been issued under Sections 10(4) and 11(1) of the Foreign Exchange Management Act, 1999 (42 of 1999) and are without prejudice to permissions/ approvals, if any, required under any other law.</w:t>
      </w:r>
    </w:p>
    <w:p w:rsidR="005A38FC" w:rsidRPr="005A38FC" w:rsidRDefault="005A38FC" w:rsidP="005A38FC">
      <w:pPr>
        <w:pStyle w:val="NormalWeb"/>
        <w:spacing w:before="0" w:beforeAutospacing="0" w:after="0" w:afterAutospacing="0"/>
        <w:rPr>
          <w:rFonts w:ascii="Arial" w:hAnsi="Arial" w:cs="Arial"/>
          <w:sz w:val="20"/>
          <w:szCs w:val="20"/>
        </w:rPr>
      </w:pPr>
      <w:r w:rsidRPr="005A38FC">
        <w:rPr>
          <w:rFonts w:ascii="Arial" w:hAnsi="Arial" w:cs="Arial"/>
          <w:sz w:val="20"/>
          <w:szCs w:val="20"/>
        </w:rPr>
        <w:t>Yours faithfully,</w:t>
      </w:r>
    </w:p>
    <w:p w:rsidR="005A38FC" w:rsidRPr="005A38FC" w:rsidRDefault="005A38FC" w:rsidP="005A38FC">
      <w:pPr>
        <w:pStyle w:val="NormalWeb"/>
        <w:spacing w:before="0" w:beforeAutospacing="0" w:after="0" w:afterAutospacing="0"/>
        <w:rPr>
          <w:rFonts w:ascii="Arial" w:hAnsi="Arial" w:cs="Arial"/>
          <w:sz w:val="20"/>
          <w:szCs w:val="20"/>
        </w:rPr>
      </w:pPr>
      <w:r w:rsidRPr="005A38FC">
        <w:rPr>
          <w:rFonts w:ascii="Arial" w:hAnsi="Arial" w:cs="Arial"/>
          <w:sz w:val="20"/>
          <w:szCs w:val="20"/>
        </w:rPr>
        <w:t xml:space="preserve">(Dimple </w:t>
      </w:r>
      <w:proofErr w:type="spellStart"/>
      <w:r w:rsidRPr="005A38FC">
        <w:rPr>
          <w:rFonts w:ascii="Arial" w:hAnsi="Arial" w:cs="Arial"/>
          <w:sz w:val="20"/>
          <w:szCs w:val="20"/>
        </w:rPr>
        <w:t>Bhandia</w:t>
      </w:r>
      <w:proofErr w:type="spellEnd"/>
      <w:r w:rsidRPr="005A38FC">
        <w:rPr>
          <w:rFonts w:ascii="Arial" w:hAnsi="Arial" w:cs="Arial"/>
          <w:sz w:val="20"/>
          <w:szCs w:val="20"/>
        </w:rPr>
        <w:t>)</w:t>
      </w:r>
      <w:r w:rsidRPr="005A38FC">
        <w:rPr>
          <w:rFonts w:ascii="Arial" w:hAnsi="Arial" w:cs="Arial"/>
          <w:sz w:val="20"/>
          <w:szCs w:val="20"/>
        </w:rPr>
        <w:br/>
        <w:t>Chief General Manager</w:t>
      </w: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Pr="00435B25" w:rsidRDefault="005A38FC" w:rsidP="005A38FC">
      <w:pPr>
        <w:spacing w:after="0"/>
        <w:rPr>
          <w:rFonts w:ascii="Arial" w:hAnsi="Arial" w:cs="Arial"/>
          <w:sz w:val="20"/>
          <w:szCs w:val="20"/>
        </w:rPr>
      </w:pPr>
      <w:r w:rsidRPr="00435B25">
        <w:rPr>
          <w:rFonts w:ascii="Arial" w:hAnsi="Arial" w:cs="Arial"/>
          <w:sz w:val="20"/>
          <w:szCs w:val="20"/>
        </w:rPr>
        <w:t>More details can be referred to in the below link.</w:t>
      </w:r>
    </w:p>
    <w:p w:rsidR="005A38FC" w:rsidRDefault="005A38FC" w:rsidP="005A38FC">
      <w:pPr>
        <w:spacing w:after="0"/>
        <w:rPr>
          <w:rFonts w:ascii="Arial" w:hAnsi="Arial" w:cs="Arial"/>
          <w:sz w:val="20"/>
          <w:szCs w:val="20"/>
        </w:rPr>
      </w:pPr>
      <w:r w:rsidRPr="00435B25">
        <w:rPr>
          <w:rFonts w:ascii="Arial" w:hAnsi="Arial" w:cs="Arial"/>
          <w:sz w:val="20"/>
          <w:szCs w:val="20"/>
        </w:rPr>
        <w:t>Reference Link:</w:t>
      </w:r>
      <w:r>
        <w:rPr>
          <w:rFonts w:ascii="Arial" w:hAnsi="Arial" w:cs="Arial"/>
          <w:sz w:val="20"/>
          <w:szCs w:val="20"/>
        </w:rPr>
        <w:t xml:space="preserve"> </w:t>
      </w:r>
      <w:hyperlink r:id="rId60" w:anchor=":~:text=Hedging%20of%20Gold%20Price%20Risk%20in%20Overseas%20Markets&amp;text=Resident%20entities%20in%20India%20are,of%20gold%20in%20overseas%20markets" w:history="1">
        <w:r w:rsidRPr="00200311">
          <w:rPr>
            <w:rStyle w:val="Hyperlink"/>
            <w:rFonts w:ascii="Arial" w:hAnsi="Arial" w:cs="Arial"/>
            <w:sz w:val="20"/>
            <w:szCs w:val="20"/>
          </w:rPr>
          <w:t>https://m.rbi.org.in/scripts/FS_Notification.aspx?Id=12423&amp;fn=6&amp;Mode=0#:~:text=Hedging%20of%20Gold%20Price%20Risk%20in%20Overseas%20Markets&amp;text=Resident%20entities%20in%20India%20are,of%20gold%20in%20overseas%20markets</w:t>
        </w:r>
      </w:hyperlink>
      <w:r w:rsidRPr="005A38FC">
        <w:rPr>
          <w:rFonts w:ascii="Arial" w:hAnsi="Arial" w:cs="Arial"/>
          <w:sz w:val="20"/>
          <w:szCs w:val="20"/>
        </w:rPr>
        <w:t>.</w:t>
      </w: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b/>
          <w:bCs/>
          <w:color w:val="000000"/>
          <w:sz w:val="20"/>
          <w:szCs w:val="20"/>
        </w:rPr>
      </w:pPr>
      <w:r>
        <w:rPr>
          <w:rFonts w:ascii="Arial" w:hAnsi="Arial" w:cs="Arial"/>
          <w:b/>
          <w:bCs/>
          <w:color w:val="000000"/>
          <w:sz w:val="20"/>
          <w:szCs w:val="20"/>
        </w:rPr>
        <w:lastRenderedPageBreak/>
        <w:t>Master Direction – Foreign Exchange Management (Hedging of Commodity Price Risk and Freight Risk in Overseas Markets) Directions, 2022</w:t>
      </w:r>
    </w:p>
    <w:p w:rsidR="005A38FC" w:rsidRDefault="005A38FC" w:rsidP="005A38FC">
      <w:pPr>
        <w:spacing w:after="0"/>
        <w:rPr>
          <w:rFonts w:ascii="Arial" w:hAnsi="Arial" w:cs="Arial"/>
          <w:b/>
          <w:bCs/>
          <w:color w:val="000000"/>
          <w:sz w:val="20"/>
          <w:szCs w:val="20"/>
        </w:rPr>
      </w:pPr>
    </w:p>
    <w:p w:rsidR="005A38FC" w:rsidRDefault="005A38FC" w:rsidP="005A38FC">
      <w:pPr>
        <w:pStyle w:val="NormalWeb"/>
        <w:jc w:val="both"/>
        <w:rPr>
          <w:rFonts w:ascii="Arial" w:hAnsi="Arial" w:cs="Arial"/>
          <w:color w:val="000000"/>
          <w:sz w:val="20"/>
          <w:szCs w:val="20"/>
        </w:rPr>
      </w:pPr>
      <w:r>
        <w:rPr>
          <w:rFonts w:ascii="Arial" w:hAnsi="Arial" w:cs="Arial"/>
          <w:color w:val="000000"/>
          <w:sz w:val="20"/>
          <w:szCs w:val="20"/>
        </w:rPr>
        <w:t>RBI/2022-2023/94</w:t>
      </w:r>
      <w:r>
        <w:rPr>
          <w:rFonts w:ascii="Arial" w:hAnsi="Arial" w:cs="Arial"/>
          <w:color w:val="000000"/>
          <w:sz w:val="20"/>
          <w:szCs w:val="20"/>
        </w:rPr>
        <w:br/>
        <w:t>A. P. (DIR Series) Circular No. 20</w:t>
      </w:r>
    </w:p>
    <w:p w:rsidR="005A38FC" w:rsidRDefault="005A38FC" w:rsidP="005A38FC">
      <w:pPr>
        <w:pStyle w:val="NormalWeb"/>
        <w:jc w:val="right"/>
        <w:rPr>
          <w:rFonts w:ascii="Arial" w:hAnsi="Arial" w:cs="Arial"/>
          <w:color w:val="000000"/>
          <w:sz w:val="20"/>
          <w:szCs w:val="20"/>
        </w:rPr>
      </w:pPr>
      <w:r>
        <w:rPr>
          <w:rFonts w:ascii="Arial" w:hAnsi="Arial" w:cs="Arial"/>
          <w:color w:val="000000"/>
          <w:sz w:val="20"/>
          <w:szCs w:val="20"/>
        </w:rPr>
        <w:t>December 12, 2022</w:t>
      </w:r>
    </w:p>
    <w:p w:rsidR="005A38FC" w:rsidRDefault="005A38FC" w:rsidP="005A38FC">
      <w:pPr>
        <w:pStyle w:val="NormalWeb"/>
        <w:jc w:val="both"/>
        <w:rPr>
          <w:rFonts w:ascii="Arial" w:hAnsi="Arial" w:cs="Arial"/>
          <w:color w:val="000000"/>
          <w:sz w:val="20"/>
          <w:szCs w:val="20"/>
        </w:rPr>
      </w:pPr>
      <w:r>
        <w:rPr>
          <w:rFonts w:ascii="Arial" w:hAnsi="Arial" w:cs="Arial"/>
          <w:color w:val="000000"/>
          <w:sz w:val="20"/>
          <w:szCs w:val="20"/>
        </w:rPr>
        <w:t>All Authorised Dealer Category – I Banks</w:t>
      </w:r>
    </w:p>
    <w:p w:rsidR="005A38FC" w:rsidRDefault="005A38FC" w:rsidP="005A38FC">
      <w:pPr>
        <w:pStyle w:val="NormalWeb"/>
        <w:jc w:val="both"/>
        <w:rPr>
          <w:rFonts w:ascii="Arial" w:hAnsi="Arial" w:cs="Arial"/>
          <w:color w:val="000000"/>
          <w:sz w:val="20"/>
          <w:szCs w:val="20"/>
        </w:rPr>
      </w:pPr>
      <w:r>
        <w:rPr>
          <w:rFonts w:ascii="Arial" w:hAnsi="Arial" w:cs="Arial"/>
          <w:color w:val="000000"/>
          <w:sz w:val="20"/>
          <w:szCs w:val="20"/>
        </w:rPr>
        <w:t>Madam / Sir,</w:t>
      </w:r>
    </w:p>
    <w:p w:rsidR="005A38FC" w:rsidRDefault="005A38FC" w:rsidP="005A38FC">
      <w:pPr>
        <w:pStyle w:val="head"/>
        <w:jc w:val="center"/>
        <w:rPr>
          <w:rFonts w:ascii="Arial" w:hAnsi="Arial" w:cs="Arial"/>
          <w:b/>
          <w:bCs/>
          <w:color w:val="000000"/>
          <w:sz w:val="20"/>
          <w:szCs w:val="20"/>
        </w:rPr>
      </w:pPr>
      <w:r>
        <w:rPr>
          <w:rFonts w:ascii="Arial" w:hAnsi="Arial" w:cs="Arial"/>
          <w:b/>
          <w:bCs/>
          <w:color w:val="000000"/>
          <w:sz w:val="20"/>
          <w:szCs w:val="20"/>
        </w:rPr>
        <w:t>Master Direction – Foreign Exchange Management (Hedging of Commodity Price Risk</w:t>
      </w:r>
      <w:r>
        <w:rPr>
          <w:rFonts w:ascii="Arial" w:hAnsi="Arial" w:cs="Arial"/>
          <w:b/>
          <w:bCs/>
          <w:color w:val="000000"/>
          <w:sz w:val="20"/>
          <w:szCs w:val="20"/>
        </w:rPr>
        <w:br/>
        <w:t>and Freight Risk in Overseas Markets) Directions, 2022</w:t>
      </w:r>
    </w:p>
    <w:p w:rsidR="005A38FC" w:rsidRDefault="005A38FC" w:rsidP="005A38FC">
      <w:pPr>
        <w:pStyle w:val="NormalWeb"/>
        <w:jc w:val="both"/>
        <w:rPr>
          <w:rFonts w:ascii="Arial" w:hAnsi="Arial" w:cs="Arial"/>
          <w:color w:val="000000"/>
          <w:sz w:val="20"/>
          <w:szCs w:val="20"/>
        </w:rPr>
      </w:pPr>
      <w:r>
        <w:rPr>
          <w:rFonts w:ascii="Arial" w:hAnsi="Arial" w:cs="Arial"/>
          <w:color w:val="000000"/>
          <w:sz w:val="20"/>
          <w:szCs w:val="20"/>
        </w:rPr>
        <w:t>Attention of Authorised Dealer Category - I (AD Cat-I) banks is invited to Regulation 6 and 6A of the Foreign Exchange Management (Foreign Exchange Derivative Contracts) Regulations, 2000 dated May 3, 2000 (</w:t>
      </w:r>
      <w:hyperlink r:id="rId61" w:tgtFrame="_blank" w:history="1">
        <w:r>
          <w:rPr>
            <w:rStyle w:val="Hyperlink"/>
            <w:rFonts w:ascii="Arial" w:hAnsi="Arial" w:cs="Arial"/>
            <w:sz w:val="20"/>
            <w:szCs w:val="20"/>
          </w:rPr>
          <w:t>Notification No. FEMA. 25/RB-2000 dated May 3, 2000</w:t>
        </w:r>
      </w:hyperlink>
      <w:r>
        <w:rPr>
          <w:rFonts w:ascii="Arial" w:hAnsi="Arial" w:cs="Arial"/>
          <w:color w:val="000000"/>
          <w:sz w:val="20"/>
          <w:szCs w:val="20"/>
        </w:rPr>
        <w:t>), as amended from time to time, issued under clause (h) of sub-section (2) of Section 47 of Foreign Exchange Management Act, 1999 (Act 42 of 1999) as amended from time to time.</w:t>
      </w:r>
    </w:p>
    <w:p w:rsidR="005A38FC" w:rsidRDefault="005A38FC" w:rsidP="005A38FC">
      <w:pPr>
        <w:pStyle w:val="NormalWeb"/>
        <w:jc w:val="both"/>
        <w:rPr>
          <w:rFonts w:ascii="Arial" w:hAnsi="Arial" w:cs="Arial"/>
          <w:color w:val="000000"/>
          <w:sz w:val="20"/>
          <w:szCs w:val="20"/>
        </w:rPr>
      </w:pPr>
      <w:r>
        <w:rPr>
          <w:rFonts w:ascii="Arial" w:hAnsi="Arial" w:cs="Arial"/>
          <w:color w:val="000000"/>
          <w:sz w:val="20"/>
          <w:szCs w:val="20"/>
        </w:rPr>
        <w:t>2. Within the contours of the Regulations, the Reserve Bank issues directions to Authorised Persons under Section 11 of the Foreign Exchange Management Act, 1999 (Act 42 of 1999). These Directions lay down the modalities for the AD Cat-I banks for facilitating hedging of commodity price risk and freight risk in overseas markets by their customers / constituents.</w:t>
      </w:r>
    </w:p>
    <w:p w:rsidR="005A38FC" w:rsidRDefault="005A38FC" w:rsidP="005A38FC">
      <w:pPr>
        <w:pStyle w:val="NormalWeb"/>
        <w:jc w:val="both"/>
        <w:rPr>
          <w:rFonts w:ascii="Arial" w:hAnsi="Arial" w:cs="Arial"/>
          <w:color w:val="000000"/>
          <w:sz w:val="20"/>
          <w:szCs w:val="20"/>
        </w:rPr>
      </w:pPr>
      <w:r>
        <w:rPr>
          <w:rFonts w:ascii="Arial" w:hAnsi="Arial" w:cs="Arial"/>
          <w:color w:val="000000"/>
          <w:sz w:val="20"/>
          <w:szCs w:val="20"/>
        </w:rPr>
        <w:t>3. The Master Direction – Foreign Exchange Management (Hedging of Commodity Price Risk and Freight Risk in Overseas Markets) Directions, 2022 are </w:t>
      </w:r>
      <w:hyperlink r:id="rId62" w:anchor="enclosed" w:history="1">
        <w:r>
          <w:rPr>
            <w:rStyle w:val="Hyperlink"/>
            <w:rFonts w:ascii="Arial" w:hAnsi="Arial" w:cs="Arial"/>
            <w:sz w:val="20"/>
            <w:szCs w:val="20"/>
          </w:rPr>
          <w:t>enclosed</w:t>
        </w:r>
      </w:hyperlink>
      <w:r>
        <w:rPr>
          <w:rFonts w:ascii="Arial" w:hAnsi="Arial" w:cs="Arial"/>
          <w:color w:val="000000"/>
          <w:sz w:val="20"/>
          <w:szCs w:val="20"/>
        </w:rPr>
        <w:t> herewith. AD Cat-I banks may bring the contents of these Directions to the notice of their customers / constituents concerned.</w:t>
      </w:r>
    </w:p>
    <w:p w:rsidR="005A38FC" w:rsidRDefault="005A38FC" w:rsidP="00B71788">
      <w:pPr>
        <w:pStyle w:val="NormalWeb"/>
        <w:jc w:val="both"/>
        <w:rPr>
          <w:rFonts w:ascii="Arial" w:hAnsi="Arial" w:cs="Arial"/>
          <w:color w:val="000000"/>
          <w:sz w:val="20"/>
          <w:szCs w:val="20"/>
        </w:rPr>
      </w:pPr>
      <w:r>
        <w:rPr>
          <w:rFonts w:ascii="Arial" w:hAnsi="Arial" w:cs="Arial"/>
          <w:color w:val="000000"/>
          <w:sz w:val="20"/>
          <w:szCs w:val="20"/>
        </w:rPr>
        <w:t>4. The directions contained in this circular have been issued under Sections 10(4) and 11(1) of the Foreign Exchange Management Act, 1999 (42 of 1999) and are without prejudice to permissions/ approvals, if any, required under any other law.</w:t>
      </w:r>
    </w:p>
    <w:p w:rsidR="005A38FC" w:rsidRDefault="005A38FC" w:rsidP="005A38FC">
      <w:pPr>
        <w:pStyle w:val="NormalWeb"/>
        <w:spacing w:after="0" w:afterAutospacing="0"/>
        <w:rPr>
          <w:rFonts w:ascii="Arial" w:hAnsi="Arial" w:cs="Arial"/>
          <w:color w:val="000000"/>
          <w:sz w:val="20"/>
          <w:szCs w:val="20"/>
        </w:rPr>
      </w:pPr>
      <w:r>
        <w:rPr>
          <w:rFonts w:ascii="Arial" w:hAnsi="Arial" w:cs="Arial"/>
          <w:color w:val="000000"/>
          <w:sz w:val="20"/>
          <w:szCs w:val="20"/>
        </w:rPr>
        <w:t>Yours faithfully,</w:t>
      </w:r>
    </w:p>
    <w:p w:rsidR="005A38FC" w:rsidRDefault="005A38FC" w:rsidP="00B71788">
      <w:pPr>
        <w:pStyle w:val="NormalWeb"/>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Pr="00435B25" w:rsidRDefault="005A38FC" w:rsidP="005A38FC">
      <w:pPr>
        <w:spacing w:after="0"/>
        <w:rPr>
          <w:rFonts w:ascii="Arial" w:hAnsi="Arial" w:cs="Arial"/>
          <w:sz w:val="20"/>
          <w:szCs w:val="20"/>
        </w:rPr>
      </w:pPr>
      <w:r w:rsidRPr="00435B25">
        <w:rPr>
          <w:rFonts w:ascii="Arial" w:hAnsi="Arial" w:cs="Arial"/>
          <w:sz w:val="20"/>
          <w:szCs w:val="20"/>
        </w:rPr>
        <w:t>More details can be referred to in the below link.</w:t>
      </w:r>
    </w:p>
    <w:p w:rsidR="005A38FC" w:rsidRDefault="005A38FC" w:rsidP="005A38FC">
      <w:pPr>
        <w:spacing w:after="0"/>
        <w:rPr>
          <w:rFonts w:ascii="Arial" w:hAnsi="Arial" w:cs="Arial"/>
          <w:sz w:val="20"/>
          <w:szCs w:val="20"/>
        </w:rPr>
      </w:pPr>
      <w:r w:rsidRPr="00435B25">
        <w:rPr>
          <w:rFonts w:ascii="Arial" w:hAnsi="Arial" w:cs="Arial"/>
          <w:sz w:val="20"/>
          <w:szCs w:val="20"/>
        </w:rPr>
        <w:t>Reference Link:</w:t>
      </w:r>
      <w:r>
        <w:rPr>
          <w:rFonts w:ascii="Arial" w:hAnsi="Arial" w:cs="Arial"/>
          <w:sz w:val="20"/>
          <w:szCs w:val="20"/>
        </w:rPr>
        <w:t xml:space="preserve"> </w:t>
      </w:r>
      <w:hyperlink r:id="rId63" w:history="1">
        <w:r w:rsidRPr="00200311">
          <w:rPr>
            <w:rStyle w:val="Hyperlink"/>
            <w:rFonts w:ascii="Arial" w:hAnsi="Arial" w:cs="Arial"/>
            <w:sz w:val="20"/>
            <w:szCs w:val="20"/>
          </w:rPr>
          <w:t>https://www.rbi.org.in/Scripts/BS_ViewMasDirections.aspx?id=12427</w:t>
        </w:r>
      </w:hyperlink>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sectPr w:rsidR="005A38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88F"/>
    <w:multiLevelType w:val="multilevel"/>
    <w:tmpl w:val="4B72A3B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8E025F9"/>
    <w:multiLevelType w:val="multilevel"/>
    <w:tmpl w:val="E3108F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DEE1848"/>
    <w:multiLevelType w:val="multilevel"/>
    <w:tmpl w:val="7EFE66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FE91410"/>
    <w:multiLevelType w:val="multilevel"/>
    <w:tmpl w:val="C6E82E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0824147"/>
    <w:multiLevelType w:val="multilevel"/>
    <w:tmpl w:val="EFB0C5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12E110C"/>
    <w:multiLevelType w:val="multilevel"/>
    <w:tmpl w:val="5B24EE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9090732"/>
    <w:multiLevelType w:val="multilevel"/>
    <w:tmpl w:val="5AA4B46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2B826247"/>
    <w:multiLevelType w:val="multilevel"/>
    <w:tmpl w:val="12EAFDF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334A636F"/>
    <w:multiLevelType w:val="multilevel"/>
    <w:tmpl w:val="AAA05FB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357D4582"/>
    <w:multiLevelType w:val="multilevel"/>
    <w:tmpl w:val="940051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62A33A4"/>
    <w:multiLevelType w:val="multilevel"/>
    <w:tmpl w:val="BBD456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3D1C0D25"/>
    <w:multiLevelType w:val="multilevel"/>
    <w:tmpl w:val="E26E2FC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15:restartNumberingAfterBreak="0">
    <w:nsid w:val="433C2382"/>
    <w:multiLevelType w:val="multilevel"/>
    <w:tmpl w:val="E708D8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4F8E310F"/>
    <w:multiLevelType w:val="multilevel"/>
    <w:tmpl w:val="7B2CB7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1EE5FA6"/>
    <w:multiLevelType w:val="multilevel"/>
    <w:tmpl w:val="36EEA8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15:restartNumberingAfterBreak="0">
    <w:nsid w:val="59AC63D0"/>
    <w:multiLevelType w:val="hybridMultilevel"/>
    <w:tmpl w:val="01961D3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6" w15:restartNumberingAfterBreak="0">
    <w:nsid w:val="5D2B74A0"/>
    <w:multiLevelType w:val="multilevel"/>
    <w:tmpl w:val="F9CA65CC"/>
    <w:lvl w:ilvl="0">
      <w:start w:val="1"/>
      <w:numFmt w:val="lowerLetter"/>
      <w:lvlText w:val="%1."/>
      <w:lvlJc w:val="left"/>
      <w:pPr>
        <w:tabs>
          <w:tab w:val="num" w:pos="3240"/>
        </w:tabs>
        <w:ind w:left="3240" w:hanging="360"/>
      </w:pPr>
    </w:lvl>
    <w:lvl w:ilvl="1" w:tentative="1">
      <w:start w:val="1"/>
      <w:numFmt w:val="lowerLetter"/>
      <w:lvlText w:val="%2."/>
      <w:lvlJc w:val="left"/>
      <w:pPr>
        <w:tabs>
          <w:tab w:val="num" w:pos="3960"/>
        </w:tabs>
        <w:ind w:left="3960" w:hanging="360"/>
      </w:pPr>
    </w:lvl>
    <w:lvl w:ilvl="2" w:tentative="1">
      <w:start w:val="1"/>
      <w:numFmt w:val="lowerLetter"/>
      <w:lvlText w:val="%3."/>
      <w:lvlJc w:val="left"/>
      <w:pPr>
        <w:tabs>
          <w:tab w:val="num" w:pos="4680"/>
        </w:tabs>
        <w:ind w:left="4680" w:hanging="360"/>
      </w:pPr>
    </w:lvl>
    <w:lvl w:ilvl="3" w:tentative="1">
      <w:start w:val="1"/>
      <w:numFmt w:val="lowerLetter"/>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Letter"/>
      <w:lvlText w:val="%6."/>
      <w:lvlJc w:val="left"/>
      <w:pPr>
        <w:tabs>
          <w:tab w:val="num" w:pos="6840"/>
        </w:tabs>
        <w:ind w:left="6840" w:hanging="360"/>
      </w:pPr>
    </w:lvl>
    <w:lvl w:ilvl="6" w:tentative="1">
      <w:start w:val="1"/>
      <w:numFmt w:val="lowerLetter"/>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Letter"/>
      <w:lvlText w:val="%9."/>
      <w:lvlJc w:val="left"/>
      <w:pPr>
        <w:tabs>
          <w:tab w:val="num" w:pos="9000"/>
        </w:tabs>
        <w:ind w:left="9000" w:hanging="360"/>
      </w:pPr>
    </w:lvl>
  </w:abstractNum>
  <w:abstractNum w:abstractNumId="17" w15:restartNumberingAfterBreak="0">
    <w:nsid w:val="5D333C26"/>
    <w:multiLevelType w:val="multilevel"/>
    <w:tmpl w:val="9CA4C1C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15:restartNumberingAfterBreak="0">
    <w:nsid w:val="64E15E3A"/>
    <w:multiLevelType w:val="multilevel"/>
    <w:tmpl w:val="495A5F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78FC2A94"/>
    <w:multiLevelType w:val="multilevel"/>
    <w:tmpl w:val="3808D5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6"/>
  </w:num>
  <w:num w:numId="7">
    <w:abstractNumId w:val="13"/>
  </w:num>
  <w:num w:numId="8">
    <w:abstractNumId w:val="1"/>
  </w:num>
  <w:num w:numId="9">
    <w:abstractNumId w:val="0"/>
  </w:num>
  <w:num w:numId="10">
    <w:abstractNumId w:val="8"/>
  </w:num>
  <w:num w:numId="11">
    <w:abstractNumId w:val="7"/>
  </w:num>
  <w:num w:numId="12">
    <w:abstractNumId w:val="2"/>
  </w:num>
  <w:num w:numId="13">
    <w:abstractNumId w:val="6"/>
  </w:num>
  <w:num w:numId="14">
    <w:abstractNumId w:val="12"/>
  </w:num>
  <w:num w:numId="15">
    <w:abstractNumId w:val="18"/>
  </w:num>
  <w:num w:numId="16">
    <w:abstractNumId w:val="3"/>
  </w:num>
  <w:num w:numId="17">
    <w:abstractNumId w:val="10"/>
  </w:num>
  <w:num w:numId="18">
    <w:abstractNumId w:val="5"/>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E6D"/>
    <w:rsid w:val="00006E6D"/>
    <w:rsid w:val="00047CD5"/>
    <w:rsid w:val="000A094E"/>
    <w:rsid w:val="000D141C"/>
    <w:rsid w:val="000F6CB6"/>
    <w:rsid w:val="00121B22"/>
    <w:rsid w:val="00147837"/>
    <w:rsid w:val="00166E3C"/>
    <w:rsid w:val="001B0D06"/>
    <w:rsid w:val="001E7AD4"/>
    <w:rsid w:val="001F219E"/>
    <w:rsid w:val="002A3764"/>
    <w:rsid w:val="002C55B6"/>
    <w:rsid w:val="002C6AB6"/>
    <w:rsid w:val="00435B25"/>
    <w:rsid w:val="0045114B"/>
    <w:rsid w:val="00467894"/>
    <w:rsid w:val="004D6B44"/>
    <w:rsid w:val="00583041"/>
    <w:rsid w:val="005A38FC"/>
    <w:rsid w:val="005D5DB2"/>
    <w:rsid w:val="00624464"/>
    <w:rsid w:val="00645D84"/>
    <w:rsid w:val="0074038C"/>
    <w:rsid w:val="00744532"/>
    <w:rsid w:val="008462A3"/>
    <w:rsid w:val="00852DAF"/>
    <w:rsid w:val="009126BF"/>
    <w:rsid w:val="009B54D0"/>
    <w:rsid w:val="009F305B"/>
    <w:rsid w:val="00A32EAB"/>
    <w:rsid w:val="00A76041"/>
    <w:rsid w:val="00B52BBF"/>
    <w:rsid w:val="00B64439"/>
    <w:rsid w:val="00B71788"/>
    <w:rsid w:val="00BF2165"/>
    <w:rsid w:val="00C754F7"/>
    <w:rsid w:val="00CE14AF"/>
    <w:rsid w:val="00DE227F"/>
    <w:rsid w:val="00EC7DEE"/>
    <w:rsid w:val="00F81595"/>
    <w:rsid w:val="00FB49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46205"/>
  <w15:chartTrackingRefBased/>
  <w15:docId w15:val="{237EF2D5-A44F-4913-B195-C42A7C64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16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2165"/>
    <w:rPr>
      <w:color w:val="0000FF"/>
      <w:u w:val="single"/>
    </w:rPr>
  </w:style>
  <w:style w:type="paragraph" w:styleId="NormalWeb">
    <w:name w:val="Normal (Web)"/>
    <w:basedOn w:val="Normal"/>
    <w:uiPriority w:val="99"/>
    <w:unhideWhenUsed/>
    <w:rsid w:val="00BF216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BF2165"/>
    <w:pPr>
      <w:ind w:left="720"/>
      <w:contextualSpacing/>
    </w:pPr>
  </w:style>
  <w:style w:type="paragraph" w:customStyle="1" w:styleId="head">
    <w:name w:val="head"/>
    <w:basedOn w:val="Normal"/>
    <w:rsid w:val="00BF2165"/>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BF21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1">
    <w:name w:val="head1"/>
    <w:basedOn w:val="DefaultParagraphFont"/>
    <w:rsid w:val="001E7AD4"/>
  </w:style>
  <w:style w:type="paragraph" w:styleId="NoSpacing">
    <w:name w:val="No Spacing"/>
    <w:uiPriority w:val="1"/>
    <w:qFormat/>
    <w:rsid w:val="000F6CB6"/>
    <w:pPr>
      <w:spacing w:after="0" w:line="240" w:lineRule="auto"/>
    </w:pPr>
  </w:style>
  <w:style w:type="character" w:styleId="Emphasis">
    <w:name w:val="Emphasis"/>
    <w:basedOn w:val="DefaultParagraphFont"/>
    <w:uiPriority w:val="20"/>
    <w:qFormat/>
    <w:rsid w:val="000D14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27902">
      <w:bodyDiv w:val="1"/>
      <w:marLeft w:val="0"/>
      <w:marRight w:val="0"/>
      <w:marTop w:val="0"/>
      <w:marBottom w:val="0"/>
      <w:divBdr>
        <w:top w:val="none" w:sz="0" w:space="0" w:color="auto"/>
        <w:left w:val="none" w:sz="0" w:space="0" w:color="auto"/>
        <w:bottom w:val="none" w:sz="0" w:space="0" w:color="auto"/>
        <w:right w:val="none" w:sz="0" w:space="0" w:color="auto"/>
      </w:divBdr>
    </w:div>
    <w:div w:id="139806540">
      <w:bodyDiv w:val="1"/>
      <w:marLeft w:val="0"/>
      <w:marRight w:val="0"/>
      <w:marTop w:val="0"/>
      <w:marBottom w:val="0"/>
      <w:divBdr>
        <w:top w:val="none" w:sz="0" w:space="0" w:color="auto"/>
        <w:left w:val="none" w:sz="0" w:space="0" w:color="auto"/>
        <w:bottom w:val="none" w:sz="0" w:space="0" w:color="auto"/>
        <w:right w:val="none" w:sz="0" w:space="0" w:color="auto"/>
      </w:divBdr>
    </w:div>
    <w:div w:id="164829666">
      <w:bodyDiv w:val="1"/>
      <w:marLeft w:val="0"/>
      <w:marRight w:val="0"/>
      <w:marTop w:val="0"/>
      <w:marBottom w:val="0"/>
      <w:divBdr>
        <w:top w:val="none" w:sz="0" w:space="0" w:color="auto"/>
        <w:left w:val="none" w:sz="0" w:space="0" w:color="auto"/>
        <w:bottom w:val="none" w:sz="0" w:space="0" w:color="auto"/>
        <w:right w:val="none" w:sz="0" w:space="0" w:color="auto"/>
      </w:divBdr>
    </w:div>
    <w:div w:id="253173397">
      <w:bodyDiv w:val="1"/>
      <w:marLeft w:val="0"/>
      <w:marRight w:val="0"/>
      <w:marTop w:val="0"/>
      <w:marBottom w:val="0"/>
      <w:divBdr>
        <w:top w:val="none" w:sz="0" w:space="0" w:color="auto"/>
        <w:left w:val="none" w:sz="0" w:space="0" w:color="auto"/>
        <w:bottom w:val="none" w:sz="0" w:space="0" w:color="auto"/>
        <w:right w:val="none" w:sz="0" w:space="0" w:color="auto"/>
      </w:divBdr>
    </w:div>
    <w:div w:id="290094693">
      <w:bodyDiv w:val="1"/>
      <w:marLeft w:val="0"/>
      <w:marRight w:val="0"/>
      <w:marTop w:val="0"/>
      <w:marBottom w:val="0"/>
      <w:divBdr>
        <w:top w:val="none" w:sz="0" w:space="0" w:color="auto"/>
        <w:left w:val="none" w:sz="0" w:space="0" w:color="auto"/>
        <w:bottom w:val="none" w:sz="0" w:space="0" w:color="auto"/>
        <w:right w:val="none" w:sz="0" w:space="0" w:color="auto"/>
      </w:divBdr>
    </w:div>
    <w:div w:id="334571405">
      <w:bodyDiv w:val="1"/>
      <w:marLeft w:val="0"/>
      <w:marRight w:val="0"/>
      <w:marTop w:val="0"/>
      <w:marBottom w:val="0"/>
      <w:divBdr>
        <w:top w:val="none" w:sz="0" w:space="0" w:color="auto"/>
        <w:left w:val="none" w:sz="0" w:space="0" w:color="auto"/>
        <w:bottom w:val="none" w:sz="0" w:space="0" w:color="auto"/>
        <w:right w:val="none" w:sz="0" w:space="0" w:color="auto"/>
      </w:divBdr>
    </w:div>
    <w:div w:id="339429337">
      <w:bodyDiv w:val="1"/>
      <w:marLeft w:val="0"/>
      <w:marRight w:val="0"/>
      <w:marTop w:val="0"/>
      <w:marBottom w:val="0"/>
      <w:divBdr>
        <w:top w:val="none" w:sz="0" w:space="0" w:color="auto"/>
        <w:left w:val="none" w:sz="0" w:space="0" w:color="auto"/>
        <w:bottom w:val="none" w:sz="0" w:space="0" w:color="auto"/>
        <w:right w:val="none" w:sz="0" w:space="0" w:color="auto"/>
      </w:divBdr>
    </w:div>
    <w:div w:id="343168591">
      <w:bodyDiv w:val="1"/>
      <w:marLeft w:val="0"/>
      <w:marRight w:val="0"/>
      <w:marTop w:val="0"/>
      <w:marBottom w:val="0"/>
      <w:divBdr>
        <w:top w:val="none" w:sz="0" w:space="0" w:color="auto"/>
        <w:left w:val="none" w:sz="0" w:space="0" w:color="auto"/>
        <w:bottom w:val="none" w:sz="0" w:space="0" w:color="auto"/>
        <w:right w:val="none" w:sz="0" w:space="0" w:color="auto"/>
      </w:divBdr>
    </w:div>
    <w:div w:id="358169095">
      <w:bodyDiv w:val="1"/>
      <w:marLeft w:val="0"/>
      <w:marRight w:val="0"/>
      <w:marTop w:val="0"/>
      <w:marBottom w:val="0"/>
      <w:divBdr>
        <w:top w:val="none" w:sz="0" w:space="0" w:color="auto"/>
        <w:left w:val="none" w:sz="0" w:space="0" w:color="auto"/>
        <w:bottom w:val="none" w:sz="0" w:space="0" w:color="auto"/>
        <w:right w:val="none" w:sz="0" w:space="0" w:color="auto"/>
      </w:divBdr>
    </w:div>
    <w:div w:id="504511713">
      <w:bodyDiv w:val="1"/>
      <w:marLeft w:val="0"/>
      <w:marRight w:val="0"/>
      <w:marTop w:val="0"/>
      <w:marBottom w:val="0"/>
      <w:divBdr>
        <w:top w:val="none" w:sz="0" w:space="0" w:color="auto"/>
        <w:left w:val="none" w:sz="0" w:space="0" w:color="auto"/>
        <w:bottom w:val="none" w:sz="0" w:space="0" w:color="auto"/>
        <w:right w:val="none" w:sz="0" w:space="0" w:color="auto"/>
      </w:divBdr>
    </w:div>
    <w:div w:id="534197464">
      <w:bodyDiv w:val="1"/>
      <w:marLeft w:val="0"/>
      <w:marRight w:val="0"/>
      <w:marTop w:val="0"/>
      <w:marBottom w:val="0"/>
      <w:divBdr>
        <w:top w:val="none" w:sz="0" w:space="0" w:color="auto"/>
        <w:left w:val="none" w:sz="0" w:space="0" w:color="auto"/>
        <w:bottom w:val="none" w:sz="0" w:space="0" w:color="auto"/>
        <w:right w:val="none" w:sz="0" w:space="0" w:color="auto"/>
      </w:divBdr>
    </w:div>
    <w:div w:id="556473836">
      <w:bodyDiv w:val="1"/>
      <w:marLeft w:val="0"/>
      <w:marRight w:val="0"/>
      <w:marTop w:val="0"/>
      <w:marBottom w:val="0"/>
      <w:divBdr>
        <w:top w:val="none" w:sz="0" w:space="0" w:color="auto"/>
        <w:left w:val="none" w:sz="0" w:space="0" w:color="auto"/>
        <w:bottom w:val="none" w:sz="0" w:space="0" w:color="auto"/>
        <w:right w:val="none" w:sz="0" w:space="0" w:color="auto"/>
      </w:divBdr>
    </w:div>
    <w:div w:id="638805484">
      <w:bodyDiv w:val="1"/>
      <w:marLeft w:val="0"/>
      <w:marRight w:val="0"/>
      <w:marTop w:val="0"/>
      <w:marBottom w:val="0"/>
      <w:divBdr>
        <w:top w:val="none" w:sz="0" w:space="0" w:color="auto"/>
        <w:left w:val="none" w:sz="0" w:space="0" w:color="auto"/>
        <w:bottom w:val="none" w:sz="0" w:space="0" w:color="auto"/>
        <w:right w:val="none" w:sz="0" w:space="0" w:color="auto"/>
      </w:divBdr>
    </w:div>
    <w:div w:id="674184569">
      <w:bodyDiv w:val="1"/>
      <w:marLeft w:val="0"/>
      <w:marRight w:val="0"/>
      <w:marTop w:val="0"/>
      <w:marBottom w:val="0"/>
      <w:divBdr>
        <w:top w:val="none" w:sz="0" w:space="0" w:color="auto"/>
        <w:left w:val="none" w:sz="0" w:space="0" w:color="auto"/>
        <w:bottom w:val="none" w:sz="0" w:space="0" w:color="auto"/>
        <w:right w:val="none" w:sz="0" w:space="0" w:color="auto"/>
      </w:divBdr>
    </w:div>
    <w:div w:id="715006577">
      <w:bodyDiv w:val="1"/>
      <w:marLeft w:val="0"/>
      <w:marRight w:val="0"/>
      <w:marTop w:val="0"/>
      <w:marBottom w:val="0"/>
      <w:divBdr>
        <w:top w:val="none" w:sz="0" w:space="0" w:color="auto"/>
        <w:left w:val="none" w:sz="0" w:space="0" w:color="auto"/>
        <w:bottom w:val="none" w:sz="0" w:space="0" w:color="auto"/>
        <w:right w:val="none" w:sz="0" w:space="0" w:color="auto"/>
      </w:divBdr>
    </w:div>
    <w:div w:id="753631214">
      <w:bodyDiv w:val="1"/>
      <w:marLeft w:val="0"/>
      <w:marRight w:val="0"/>
      <w:marTop w:val="0"/>
      <w:marBottom w:val="0"/>
      <w:divBdr>
        <w:top w:val="none" w:sz="0" w:space="0" w:color="auto"/>
        <w:left w:val="none" w:sz="0" w:space="0" w:color="auto"/>
        <w:bottom w:val="none" w:sz="0" w:space="0" w:color="auto"/>
        <w:right w:val="none" w:sz="0" w:space="0" w:color="auto"/>
      </w:divBdr>
    </w:div>
    <w:div w:id="787315246">
      <w:bodyDiv w:val="1"/>
      <w:marLeft w:val="0"/>
      <w:marRight w:val="0"/>
      <w:marTop w:val="0"/>
      <w:marBottom w:val="0"/>
      <w:divBdr>
        <w:top w:val="none" w:sz="0" w:space="0" w:color="auto"/>
        <w:left w:val="none" w:sz="0" w:space="0" w:color="auto"/>
        <w:bottom w:val="none" w:sz="0" w:space="0" w:color="auto"/>
        <w:right w:val="none" w:sz="0" w:space="0" w:color="auto"/>
      </w:divBdr>
    </w:div>
    <w:div w:id="837354668">
      <w:bodyDiv w:val="1"/>
      <w:marLeft w:val="0"/>
      <w:marRight w:val="0"/>
      <w:marTop w:val="0"/>
      <w:marBottom w:val="0"/>
      <w:divBdr>
        <w:top w:val="none" w:sz="0" w:space="0" w:color="auto"/>
        <w:left w:val="none" w:sz="0" w:space="0" w:color="auto"/>
        <w:bottom w:val="none" w:sz="0" w:space="0" w:color="auto"/>
        <w:right w:val="none" w:sz="0" w:space="0" w:color="auto"/>
      </w:divBdr>
    </w:div>
    <w:div w:id="849488530">
      <w:bodyDiv w:val="1"/>
      <w:marLeft w:val="0"/>
      <w:marRight w:val="0"/>
      <w:marTop w:val="0"/>
      <w:marBottom w:val="0"/>
      <w:divBdr>
        <w:top w:val="none" w:sz="0" w:space="0" w:color="auto"/>
        <w:left w:val="none" w:sz="0" w:space="0" w:color="auto"/>
        <w:bottom w:val="none" w:sz="0" w:space="0" w:color="auto"/>
        <w:right w:val="none" w:sz="0" w:space="0" w:color="auto"/>
      </w:divBdr>
    </w:div>
    <w:div w:id="907883410">
      <w:bodyDiv w:val="1"/>
      <w:marLeft w:val="0"/>
      <w:marRight w:val="0"/>
      <w:marTop w:val="0"/>
      <w:marBottom w:val="0"/>
      <w:divBdr>
        <w:top w:val="none" w:sz="0" w:space="0" w:color="auto"/>
        <w:left w:val="none" w:sz="0" w:space="0" w:color="auto"/>
        <w:bottom w:val="none" w:sz="0" w:space="0" w:color="auto"/>
        <w:right w:val="none" w:sz="0" w:space="0" w:color="auto"/>
      </w:divBdr>
      <w:divsChild>
        <w:div w:id="1363632254">
          <w:marLeft w:val="150"/>
          <w:marRight w:val="0"/>
          <w:marTop w:val="0"/>
          <w:marBottom w:val="0"/>
          <w:divBdr>
            <w:top w:val="none" w:sz="0" w:space="0" w:color="auto"/>
            <w:left w:val="none" w:sz="0" w:space="0" w:color="auto"/>
            <w:bottom w:val="none" w:sz="0" w:space="0" w:color="auto"/>
            <w:right w:val="single" w:sz="6" w:space="8" w:color="0469A3"/>
          </w:divBdr>
          <w:divsChild>
            <w:div w:id="1719012538">
              <w:marLeft w:val="0"/>
              <w:marRight w:val="0"/>
              <w:marTop w:val="0"/>
              <w:marBottom w:val="0"/>
              <w:divBdr>
                <w:top w:val="none" w:sz="0" w:space="0" w:color="auto"/>
                <w:left w:val="none" w:sz="0" w:space="0" w:color="auto"/>
                <w:bottom w:val="none" w:sz="0" w:space="0" w:color="auto"/>
                <w:right w:val="none" w:sz="0" w:space="0" w:color="auto"/>
              </w:divBdr>
              <w:divsChild>
                <w:div w:id="13684897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37058060">
      <w:bodyDiv w:val="1"/>
      <w:marLeft w:val="0"/>
      <w:marRight w:val="0"/>
      <w:marTop w:val="0"/>
      <w:marBottom w:val="0"/>
      <w:divBdr>
        <w:top w:val="none" w:sz="0" w:space="0" w:color="auto"/>
        <w:left w:val="none" w:sz="0" w:space="0" w:color="auto"/>
        <w:bottom w:val="none" w:sz="0" w:space="0" w:color="auto"/>
        <w:right w:val="none" w:sz="0" w:space="0" w:color="auto"/>
      </w:divBdr>
    </w:div>
    <w:div w:id="996490989">
      <w:bodyDiv w:val="1"/>
      <w:marLeft w:val="0"/>
      <w:marRight w:val="0"/>
      <w:marTop w:val="0"/>
      <w:marBottom w:val="0"/>
      <w:divBdr>
        <w:top w:val="none" w:sz="0" w:space="0" w:color="auto"/>
        <w:left w:val="none" w:sz="0" w:space="0" w:color="auto"/>
        <w:bottom w:val="none" w:sz="0" w:space="0" w:color="auto"/>
        <w:right w:val="none" w:sz="0" w:space="0" w:color="auto"/>
      </w:divBdr>
    </w:div>
    <w:div w:id="998270122">
      <w:bodyDiv w:val="1"/>
      <w:marLeft w:val="0"/>
      <w:marRight w:val="0"/>
      <w:marTop w:val="0"/>
      <w:marBottom w:val="0"/>
      <w:divBdr>
        <w:top w:val="none" w:sz="0" w:space="0" w:color="auto"/>
        <w:left w:val="none" w:sz="0" w:space="0" w:color="auto"/>
        <w:bottom w:val="none" w:sz="0" w:space="0" w:color="auto"/>
        <w:right w:val="none" w:sz="0" w:space="0" w:color="auto"/>
      </w:divBdr>
    </w:div>
    <w:div w:id="1006128647">
      <w:bodyDiv w:val="1"/>
      <w:marLeft w:val="0"/>
      <w:marRight w:val="0"/>
      <w:marTop w:val="0"/>
      <w:marBottom w:val="0"/>
      <w:divBdr>
        <w:top w:val="none" w:sz="0" w:space="0" w:color="auto"/>
        <w:left w:val="none" w:sz="0" w:space="0" w:color="auto"/>
        <w:bottom w:val="none" w:sz="0" w:space="0" w:color="auto"/>
        <w:right w:val="none" w:sz="0" w:space="0" w:color="auto"/>
      </w:divBdr>
    </w:div>
    <w:div w:id="1203251407">
      <w:bodyDiv w:val="1"/>
      <w:marLeft w:val="0"/>
      <w:marRight w:val="0"/>
      <w:marTop w:val="0"/>
      <w:marBottom w:val="0"/>
      <w:divBdr>
        <w:top w:val="none" w:sz="0" w:space="0" w:color="auto"/>
        <w:left w:val="none" w:sz="0" w:space="0" w:color="auto"/>
        <w:bottom w:val="none" w:sz="0" w:space="0" w:color="auto"/>
        <w:right w:val="none" w:sz="0" w:space="0" w:color="auto"/>
      </w:divBdr>
      <w:divsChild>
        <w:div w:id="1267738942">
          <w:blockQuote w:val="1"/>
          <w:marLeft w:val="600"/>
          <w:marRight w:val="600"/>
          <w:marTop w:val="240"/>
          <w:marBottom w:val="240"/>
          <w:divBdr>
            <w:top w:val="none" w:sz="0" w:space="0" w:color="auto"/>
            <w:left w:val="none" w:sz="0" w:space="0" w:color="auto"/>
            <w:bottom w:val="none" w:sz="0" w:space="0" w:color="auto"/>
            <w:right w:val="none" w:sz="0" w:space="0" w:color="auto"/>
          </w:divBdr>
        </w:div>
        <w:div w:id="190608653">
          <w:blockQuote w:val="1"/>
          <w:marLeft w:val="600"/>
          <w:marRight w:val="600"/>
          <w:marTop w:val="240"/>
          <w:marBottom w:val="240"/>
          <w:divBdr>
            <w:top w:val="none" w:sz="0" w:space="0" w:color="auto"/>
            <w:left w:val="none" w:sz="0" w:space="0" w:color="auto"/>
            <w:bottom w:val="none" w:sz="0" w:space="0" w:color="auto"/>
            <w:right w:val="none" w:sz="0" w:space="0" w:color="auto"/>
          </w:divBdr>
        </w:div>
        <w:div w:id="22558888">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221555026">
      <w:bodyDiv w:val="1"/>
      <w:marLeft w:val="0"/>
      <w:marRight w:val="0"/>
      <w:marTop w:val="0"/>
      <w:marBottom w:val="0"/>
      <w:divBdr>
        <w:top w:val="none" w:sz="0" w:space="0" w:color="auto"/>
        <w:left w:val="none" w:sz="0" w:space="0" w:color="auto"/>
        <w:bottom w:val="none" w:sz="0" w:space="0" w:color="auto"/>
        <w:right w:val="none" w:sz="0" w:space="0" w:color="auto"/>
      </w:divBdr>
    </w:div>
    <w:div w:id="1241528069">
      <w:bodyDiv w:val="1"/>
      <w:marLeft w:val="0"/>
      <w:marRight w:val="0"/>
      <w:marTop w:val="0"/>
      <w:marBottom w:val="0"/>
      <w:divBdr>
        <w:top w:val="none" w:sz="0" w:space="0" w:color="auto"/>
        <w:left w:val="none" w:sz="0" w:space="0" w:color="auto"/>
        <w:bottom w:val="none" w:sz="0" w:space="0" w:color="auto"/>
        <w:right w:val="none" w:sz="0" w:space="0" w:color="auto"/>
      </w:divBdr>
    </w:div>
    <w:div w:id="1367756360">
      <w:bodyDiv w:val="1"/>
      <w:marLeft w:val="0"/>
      <w:marRight w:val="0"/>
      <w:marTop w:val="0"/>
      <w:marBottom w:val="0"/>
      <w:divBdr>
        <w:top w:val="none" w:sz="0" w:space="0" w:color="auto"/>
        <w:left w:val="none" w:sz="0" w:space="0" w:color="auto"/>
        <w:bottom w:val="none" w:sz="0" w:space="0" w:color="auto"/>
        <w:right w:val="none" w:sz="0" w:space="0" w:color="auto"/>
      </w:divBdr>
    </w:div>
    <w:div w:id="1453595038">
      <w:bodyDiv w:val="1"/>
      <w:marLeft w:val="0"/>
      <w:marRight w:val="0"/>
      <w:marTop w:val="0"/>
      <w:marBottom w:val="0"/>
      <w:divBdr>
        <w:top w:val="none" w:sz="0" w:space="0" w:color="auto"/>
        <w:left w:val="none" w:sz="0" w:space="0" w:color="auto"/>
        <w:bottom w:val="none" w:sz="0" w:space="0" w:color="auto"/>
        <w:right w:val="none" w:sz="0" w:space="0" w:color="auto"/>
      </w:divBdr>
    </w:div>
    <w:div w:id="1563563648">
      <w:bodyDiv w:val="1"/>
      <w:marLeft w:val="0"/>
      <w:marRight w:val="0"/>
      <w:marTop w:val="0"/>
      <w:marBottom w:val="0"/>
      <w:divBdr>
        <w:top w:val="none" w:sz="0" w:space="0" w:color="auto"/>
        <w:left w:val="none" w:sz="0" w:space="0" w:color="auto"/>
        <w:bottom w:val="none" w:sz="0" w:space="0" w:color="auto"/>
        <w:right w:val="none" w:sz="0" w:space="0" w:color="auto"/>
      </w:divBdr>
    </w:div>
    <w:div w:id="1565020747">
      <w:bodyDiv w:val="1"/>
      <w:marLeft w:val="0"/>
      <w:marRight w:val="0"/>
      <w:marTop w:val="0"/>
      <w:marBottom w:val="0"/>
      <w:divBdr>
        <w:top w:val="none" w:sz="0" w:space="0" w:color="auto"/>
        <w:left w:val="none" w:sz="0" w:space="0" w:color="auto"/>
        <w:bottom w:val="none" w:sz="0" w:space="0" w:color="auto"/>
        <w:right w:val="none" w:sz="0" w:space="0" w:color="auto"/>
      </w:divBdr>
    </w:div>
    <w:div w:id="1665818683">
      <w:bodyDiv w:val="1"/>
      <w:marLeft w:val="0"/>
      <w:marRight w:val="0"/>
      <w:marTop w:val="0"/>
      <w:marBottom w:val="0"/>
      <w:divBdr>
        <w:top w:val="none" w:sz="0" w:space="0" w:color="auto"/>
        <w:left w:val="none" w:sz="0" w:space="0" w:color="auto"/>
        <w:bottom w:val="none" w:sz="0" w:space="0" w:color="auto"/>
        <w:right w:val="none" w:sz="0" w:space="0" w:color="auto"/>
      </w:divBdr>
      <w:divsChild>
        <w:div w:id="1370062342">
          <w:blockQuote w:val="1"/>
          <w:marLeft w:val="600"/>
          <w:marRight w:val="600"/>
          <w:marTop w:val="240"/>
          <w:marBottom w:val="240"/>
          <w:divBdr>
            <w:top w:val="none" w:sz="0" w:space="0" w:color="auto"/>
            <w:left w:val="none" w:sz="0" w:space="0" w:color="auto"/>
            <w:bottom w:val="none" w:sz="0" w:space="0" w:color="auto"/>
            <w:right w:val="none" w:sz="0" w:space="0" w:color="auto"/>
          </w:divBdr>
        </w:div>
        <w:div w:id="683364771">
          <w:blockQuote w:val="1"/>
          <w:marLeft w:val="600"/>
          <w:marRight w:val="600"/>
          <w:marTop w:val="240"/>
          <w:marBottom w:val="240"/>
          <w:divBdr>
            <w:top w:val="none" w:sz="0" w:space="0" w:color="auto"/>
            <w:left w:val="none" w:sz="0" w:space="0" w:color="auto"/>
            <w:bottom w:val="none" w:sz="0" w:space="0" w:color="auto"/>
            <w:right w:val="none" w:sz="0" w:space="0" w:color="auto"/>
          </w:divBdr>
        </w:div>
        <w:div w:id="42434939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791312741">
      <w:bodyDiv w:val="1"/>
      <w:marLeft w:val="0"/>
      <w:marRight w:val="0"/>
      <w:marTop w:val="0"/>
      <w:marBottom w:val="0"/>
      <w:divBdr>
        <w:top w:val="none" w:sz="0" w:space="0" w:color="auto"/>
        <w:left w:val="none" w:sz="0" w:space="0" w:color="auto"/>
        <w:bottom w:val="none" w:sz="0" w:space="0" w:color="auto"/>
        <w:right w:val="none" w:sz="0" w:space="0" w:color="auto"/>
      </w:divBdr>
    </w:div>
    <w:div w:id="2014184872">
      <w:bodyDiv w:val="1"/>
      <w:marLeft w:val="0"/>
      <w:marRight w:val="0"/>
      <w:marTop w:val="0"/>
      <w:marBottom w:val="0"/>
      <w:divBdr>
        <w:top w:val="none" w:sz="0" w:space="0" w:color="auto"/>
        <w:left w:val="none" w:sz="0" w:space="0" w:color="auto"/>
        <w:bottom w:val="none" w:sz="0" w:space="0" w:color="auto"/>
        <w:right w:val="none" w:sz="0" w:space="0" w:color="auto"/>
      </w:divBdr>
    </w:div>
    <w:div w:id="211440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bi.org.in/Scripts/BS_ViewMasDirections.aspx?id=10485" TargetMode="External"/><Relationship Id="rId18" Type="http://schemas.openxmlformats.org/officeDocument/2006/relationships/hyperlink" Target="https://rbi.org.in/Scripts/BS_ViewMasDirections.aspx?id=11510" TargetMode="External"/><Relationship Id="rId26" Type="http://schemas.openxmlformats.org/officeDocument/2006/relationships/hyperlink" Target="https://www.rbi.org.in/scripts/NotificationUser.aspx?Id=12373&amp;Mode=0" TargetMode="External"/><Relationship Id="rId39" Type="http://schemas.openxmlformats.org/officeDocument/2006/relationships/hyperlink" Target="https://rbi.org.in/Scripts/NotificationUser.aspx?Id=2126&amp;Mode=0" TargetMode="External"/><Relationship Id="rId21" Type="http://schemas.openxmlformats.org/officeDocument/2006/relationships/hyperlink" Target="https://www.rbi.org.in/Scripts/NotificationUser.aspx?Id=12366&amp;Mode=0" TargetMode="External"/><Relationship Id="rId34" Type="http://schemas.openxmlformats.org/officeDocument/2006/relationships/hyperlink" Target="https://rbidocs.rbi.org.in/rdocs/content/pdfs/GazetteRules23082022.pdf" TargetMode="External"/><Relationship Id="rId42" Type="http://schemas.openxmlformats.org/officeDocument/2006/relationships/hyperlink" Target="https://www.rbi.org.in/Scripts/NotificationUser.aspx?Id=8832&amp;Mode=0" TargetMode="External"/><Relationship Id="rId47" Type="http://schemas.openxmlformats.org/officeDocument/2006/relationships/hyperlink" Target="https://rbi.org.in/Scripts/BS_ViewMasDirections.aspx?id=11510" TargetMode="External"/><Relationship Id="rId50" Type="http://schemas.openxmlformats.org/officeDocument/2006/relationships/hyperlink" Target="https://m.rbi.org.in/Scripts/NotificationUser.aspx?Id=11777&amp;Mode=0" TargetMode="External"/><Relationship Id="rId55" Type="http://schemas.openxmlformats.org/officeDocument/2006/relationships/hyperlink" Target="https://m.rbi.org.in/scripts/FS_Notification.aspx?Id=12417&amp;fn=14&amp;Mode=0" TargetMode="External"/><Relationship Id="rId63" Type="http://schemas.openxmlformats.org/officeDocument/2006/relationships/hyperlink" Target="https://www.rbi.org.in/Scripts/BS_ViewMasDirections.aspx?id=12427" TargetMode="External"/><Relationship Id="rId7" Type="http://schemas.openxmlformats.org/officeDocument/2006/relationships/hyperlink" Target="https://www.rbi.org.in/Scripts/NotificationUser.aspx?Id=12099&amp;Mode=0" TargetMode="External"/><Relationship Id="rId2" Type="http://schemas.openxmlformats.org/officeDocument/2006/relationships/numbering" Target="numbering.xml"/><Relationship Id="rId16" Type="http://schemas.openxmlformats.org/officeDocument/2006/relationships/hyperlink" Target="https://rbi.org.in/Scripts/NotificationUser.aspx?Id=12358&amp;Mode=0" TargetMode="External"/><Relationship Id="rId20" Type="http://schemas.openxmlformats.org/officeDocument/2006/relationships/hyperlink" Target="https://rbidocs.rbi.org.in/rdocs/content/pdfs/GN3RFEMA01082022.pdf" TargetMode="External"/><Relationship Id="rId29" Type="http://schemas.openxmlformats.org/officeDocument/2006/relationships/hyperlink" Target="https://m.rbi.org.in/Scripts/NotificationUser.aspx?Id=11602&amp;Mode=0" TargetMode="External"/><Relationship Id="rId41" Type="http://schemas.openxmlformats.org/officeDocument/2006/relationships/hyperlink" Target="https://www.rbi.org.in/scripts/NotificationUser.aspx?Id=12381&amp;Mode=0" TargetMode="External"/><Relationship Id="rId54" Type="http://schemas.openxmlformats.org/officeDocument/2006/relationships/hyperlink" Target="https://m.rbi.org.in/Scripts/NotificationUser.aspx?Id=8874&amp;Mode=0" TargetMode="External"/><Relationship Id="rId62" Type="http://schemas.openxmlformats.org/officeDocument/2006/relationships/hyperlink" Target="https://www.rbi.org.in/Scripts/BS_ViewMasDirections.aspx?id=12427" TargetMode="External"/><Relationship Id="rId1" Type="http://schemas.openxmlformats.org/officeDocument/2006/relationships/customXml" Target="../customXml/item1.xml"/><Relationship Id="rId6" Type="http://schemas.openxmlformats.org/officeDocument/2006/relationships/hyperlink" Target="https://www.rbi.org.in/Scripts/BS_PressReleaseDisplay.aspx?prid=53979" TargetMode="External"/><Relationship Id="rId11" Type="http://schemas.openxmlformats.org/officeDocument/2006/relationships/hyperlink" Target="https://www.rbi.org.in/Scripts/BS_ViewMasDirections.aspx?id=10485" TargetMode="External"/><Relationship Id="rId24" Type="http://schemas.openxmlformats.org/officeDocument/2006/relationships/hyperlink" Target="https://www.rbi.org.in/scripts/NotificationUser.aspx?Id=12373&amp;Mode=0" TargetMode="External"/><Relationship Id="rId32" Type="http://schemas.openxmlformats.org/officeDocument/2006/relationships/hyperlink" Target="https://m.rbi.org.in/scripts/FS_Notification.aspx?Id=12374&amp;fn=6&amp;Mode=0" TargetMode="External"/><Relationship Id="rId37" Type="http://schemas.openxmlformats.org/officeDocument/2006/relationships/hyperlink" Target="https://rbidocs.rbi.org.in/rdocs/content/pdfs/GazetteRules23082022.pdf" TargetMode="External"/><Relationship Id="rId40" Type="http://schemas.openxmlformats.org/officeDocument/2006/relationships/hyperlink" Target="https://rbi.org.in/Scripts/NotificationUser.aspx?Id=10257&amp;Mode=0" TargetMode="External"/><Relationship Id="rId45" Type="http://schemas.openxmlformats.org/officeDocument/2006/relationships/hyperlink" Target="https://www.rbi.org.in/scripts/NotificationUser.aspx?Id=12386&amp;Mode=0" TargetMode="External"/><Relationship Id="rId53" Type="http://schemas.openxmlformats.org/officeDocument/2006/relationships/hyperlink" Target="https://m.rbi.org.in/Scripts/NotificationUser.aspx?Id=4676&amp;Mode=0" TargetMode="External"/><Relationship Id="rId58" Type="http://schemas.openxmlformats.org/officeDocument/2006/relationships/hyperlink" Target="https://m.rbi.org.in/Scripts/NotificationUser.aspx?Id=11226&amp;Mode=0" TargetMode="External"/><Relationship Id="rId5" Type="http://schemas.openxmlformats.org/officeDocument/2006/relationships/webSettings" Target="webSettings.xml"/><Relationship Id="rId15" Type="http://schemas.openxmlformats.org/officeDocument/2006/relationships/hyperlink" Target="https://www.rbi.org.in/scripts/NotificationUser.aspx?Id=12356&amp;Mode=0" TargetMode="External"/><Relationship Id="rId23" Type="http://schemas.openxmlformats.org/officeDocument/2006/relationships/hyperlink" Target="https://www.rbi.org.in/Scripts/BS_PressReleaseDisplay.aspx?prid=48807" TargetMode="External"/><Relationship Id="rId28" Type="http://schemas.openxmlformats.org/officeDocument/2006/relationships/hyperlink" Target="https://m.rbi.org.in/Scripts/BS_PressReleaseDisplay.aspx?prid=54148" TargetMode="External"/><Relationship Id="rId36" Type="http://schemas.openxmlformats.org/officeDocument/2006/relationships/hyperlink" Target="https://www.rbi.org.in/scripts/NotificationUser.aspx?Id=12380&amp;Mode=0" TargetMode="External"/><Relationship Id="rId49" Type="http://schemas.openxmlformats.org/officeDocument/2006/relationships/hyperlink" Target="https://m.rbi.org.in/Scripts/NotificationUser.aspx?Id=11601&amp;Mode=0" TargetMode="External"/><Relationship Id="rId57" Type="http://schemas.openxmlformats.org/officeDocument/2006/relationships/hyperlink" Target="https://m.rbi.org.in/Scripts/BS_PressReleaseDisplay.aspx?prid=54818" TargetMode="External"/><Relationship Id="rId61" Type="http://schemas.openxmlformats.org/officeDocument/2006/relationships/hyperlink" Target="https://rbi.org.in/Scripts/NotificationUser.aspx?Id=179&amp;Mode=0" TargetMode="External"/><Relationship Id="rId10" Type="http://schemas.openxmlformats.org/officeDocument/2006/relationships/hyperlink" Target="https://www.rbi.org.in/Scripts/NotificationUser.aspx?Id=11441&amp;Mode=0" TargetMode="External"/><Relationship Id="rId19" Type="http://schemas.openxmlformats.org/officeDocument/2006/relationships/hyperlink" Target="https://www.rbi.org.in/Scripts/BS_PressReleaseDisplay.aspx?prid=53979" TargetMode="External"/><Relationship Id="rId31" Type="http://schemas.openxmlformats.org/officeDocument/2006/relationships/hyperlink" Target="https://m.rbi.org.in/Scripts/NotificationUser.aspx?Id=11602&amp;Mode=0" TargetMode="External"/><Relationship Id="rId44" Type="http://schemas.openxmlformats.org/officeDocument/2006/relationships/hyperlink" Target="https://rbi.org.in/Scripts/NotificationUser.aspx?Id=8832&amp;Mode=0" TargetMode="External"/><Relationship Id="rId52" Type="http://schemas.openxmlformats.org/officeDocument/2006/relationships/hyperlink" Target="https://m.rbi.org.in/scripts/FS_Notification.aspx?Id=12414&amp;fn=6&amp;Mode=0" TargetMode="External"/><Relationship Id="rId60" Type="http://schemas.openxmlformats.org/officeDocument/2006/relationships/hyperlink" Target="https://m.rbi.org.in/scripts/FS_Notification.aspx?Id=12423&amp;fn=6&amp;Mode=0"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bi.org.in/scripts/FS_Notification.aspx?Id=12355&amp;fn=6&amp;Mode=0" TargetMode="External"/><Relationship Id="rId14" Type="http://schemas.openxmlformats.org/officeDocument/2006/relationships/hyperlink" Target="https://rbi.org.in/Scripts/BS_ViewMasDirections.aspx?id=11510" TargetMode="External"/><Relationship Id="rId22" Type="http://schemas.openxmlformats.org/officeDocument/2006/relationships/hyperlink" Target="https://www.rbi.org.in/Scripts/BS_PressReleaseDisplay.aspx?prid=32614" TargetMode="External"/><Relationship Id="rId27" Type="http://schemas.openxmlformats.org/officeDocument/2006/relationships/hyperlink" Target="https://m.rbi.org.in/Scripts/BS_PressReleaseDisplay.aspx?prid=54149" TargetMode="External"/><Relationship Id="rId30" Type="http://schemas.openxmlformats.org/officeDocument/2006/relationships/hyperlink" Target="https://m.rbi.org.in/Scripts/NotificationUser.aspx?Id=12229&amp;Mode=0" TargetMode="External"/><Relationship Id="rId35" Type="http://schemas.openxmlformats.org/officeDocument/2006/relationships/hyperlink" Target="https://rbidocs.rbi.org.in/rdocs/content/pdfs/GazetteRules23082022.pdf" TargetMode="External"/><Relationship Id="rId43" Type="http://schemas.openxmlformats.org/officeDocument/2006/relationships/hyperlink" Target="https://rbi.org.in/Scripts/BS_PressReleaseDisplay.aspx?prid=54149" TargetMode="External"/><Relationship Id="rId48" Type="http://schemas.openxmlformats.org/officeDocument/2006/relationships/hyperlink" Target="https://www.rbi.org.in/scripts/NotificationUser.aspx?Id=12393&amp;Mode=0" TargetMode="External"/><Relationship Id="rId56" Type="http://schemas.openxmlformats.org/officeDocument/2006/relationships/hyperlink" Target="https://m.rbi.org.in/Scripts/BS_PressReleaseDisplay.aspx?prid=54819" TargetMode="External"/><Relationship Id="rId64" Type="http://schemas.openxmlformats.org/officeDocument/2006/relationships/fontTable" Target="fontTable.xml"/><Relationship Id="rId8" Type="http://schemas.openxmlformats.org/officeDocument/2006/relationships/hyperlink" Target="https://www.rbi.org.in/Scripts/NotificationUser.aspx?Id=11303&amp;Mode=0" TargetMode="External"/><Relationship Id="rId51" Type="http://schemas.openxmlformats.org/officeDocument/2006/relationships/hyperlink" Target="https://m.rbi.org.in/Scripts/NotificationUser.aspx?Id=11601&amp;Mode=0" TargetMode="External"/><Relationship Id="rId3" Type="http://schemas.openxmlformats.org/officeDocument/2006/relationships/styles" Target="styles.xml"/><Relationship Id="rId12" Type="http://schemas.openxmlformats.org/officeDocument/2006/relationships/hyperlink" Target="https://www.rbi.org.in/Scripts/BS_PressReleaseDisplay.aspx?prid=53979" TargetMode="External"/><Relationship Id="rId17" Type="http://schemas.openxmlformats.org/officeDocument/2006/relationships/hyperlink" Target="https://www.rbi.org.in/scripts/FS_Notification.aspx?Id=12377&amp;fn=5&amp;Mode=0" TargetMode="External"/><Relationship Id="rId25" Type="http://schemas.openxmlformats.org/officeDocument/2006/relationships/hyperlink" Target="https://www.rbi.org.in/scripts/NotificationUser.aspx?Id=12373&amp;Mode=0" TargetMode="External"/><Relationship Id="rId33" Type="http://schemas.openxmlformats.org/officeDocument/2006/relationships/hyperlink" Target="https://rbidocs.rbi.org.in/rdocs/content/pdfs/GazetteRegulations230822.pdf" TargetMode="External"/><Relationship Id="rId38" Type="http://schemas.openxmlformats.org/officeDocument/2006/relationships/hyperlink" Target="https://rbi.org.in/Scripts/NotificationUser.aspx?Id=12380&amp;Mode=0" TargetMode="External"/><Relationship Id="rId46" Type="http://schemas.openxmlformats.org/officeDocument/2006/relationships/hyperlink" Target="https://www.rbi.org.in/Scripts/BS_ViewMasDirections.aspx?id=10202" TargetMode="External"/><Relationship Id="rId59" Type="http://schemas.openxmlformats.org/officeDocument/2006/relationships/hyperlink" Target="https://m.rbi.org.in/Scripts/NotificationUser.aspx?Id=12428&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EAC75-B0E8-47BD-87D2-84D9A0439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16</Pages>
  <Words>5600</Words>
  <Characters>31923</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Srija Sarkar</dc:creator>
  <cp:keywords/>
  <dc:description/>
  <cp:lastModifiedBy>Srija Sarkar</cp:lastModifiedBy>
  <cp:revision>43</cp:revision>
  <dcterms:created xsi:type="dcterms:W3CDTF">2023-02-27T06:47:00Z</dcterms:created>
  <dcterms:modified xsi:type="dcterms:W3CDTF">2023-02-27T12:29:00Z</dcterms:modified>
</cp:coreProperties>
</file>